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D011" w14:textId="5EC66746" w:rsidR="00E0317F" w:rsidRDefault="00E0317F" w:rsidP="00E0317F">
      <w:pPr>
        <w:spacing w:after="0" w:line="240" w:lineRule="auto"/>
        <w:rPr>
          <w:rFonts w:cstheme="minorHAnsi"/>
          <w:sz w:val="21"/>
          <w:szCs w:val="21"/>
        </w:rPr>
      </w:pPr>
    </w:p>
    <w:p w14:paraId="7C74E003" w14:textId="2AC2CF66" w:rsidR="00076C11" w:rsidRDefault="00076C11" w:rsidP="00E0317F">
      <w:pPr>
        <w:spacing w:after="0" w:line="240" w:lineRule="auto"/>
        <w:rPr>
          <w:rFonts w:cstheme="minorHAnsi"/>
          <w:sz w:val="21"/>
          <w:szCs w:val="21"/>
        </w:rPr>
      </w:pPr>
    </w:p>
    <w:p w14:paraId="0E9B3CB9" w14:textId="77777777" w:rsidR="00076C11" w:rsidRPr="0077324C" w:rsidRDefault="00076C11" w:rsidP="00E0317F">
      <w:pPr>
        <w:spacing w:after="0" w:line="240" w:lineRule="auto"/>
        <w:rPr>
          <w:rFonts w:cstheme="minorHAnsi"/>
          <w:sz w:val="21"/>
          <w:szCs w:val="21"/>
        </w:rPr>
      </w:pPr>
    </w:p>
    <w:p w14:paraId="61289EA3" w14:textId="28D5C6C9" w:rsidR="00BA0BB4" w:rsidRPr="009F5D75" w:rsidRDefault="00BA0BB4" w:rsidP="00E0317F">
      <w:pPr>
        <w:spacing w:after="0" w:line="240" w:lineRule="auto"/>
        <w:rPr>
          <w:rFonts w:cstheme="minorHAnsi"/>
          <w:sz w:val="21"/>
          <w:szCs w:val="21"/>
          <w:lang w:val="en-GB"/>
        </w:rPr>
      </w:pPr>
      <w:r w:rsidRPr="009F5D75">
        <w:rPr>
          <w:rFonts w:cstheme="minorHAnsi"/>
          <w:sz w:val="21"/>
          <w:szCs w:val="21"/>
          <w:lang w:val="en-GB"/>
        </w:rPr>
        <w:t xml:space="preserve">Per E-Mail: </w:t>
      </w:r>
      <w:hyperlink r:id="rId8" w:history="1">
        <w:r w:rsidRPr="009F5D75">
          <w:rPr>
            <w:rStyle w:val="Hyperlink"/>
            <w:rFonts w:cstheme="minorHAnsi"/>
            <w:sz w:val="21"/>
            <w:szCs w:val="21"/>
            <w:lang w:val="en-GB"/>
          </w:rPr>
          <w:t>ptj-expkom-fracking@fz-juelich.</w:t>
        </w:r>
      </w:hyperlink>
      <w:r w:rsidR="009F5D75" w:rsidRPr="009F5D75">
        <w:rPr>
          <w:rStyle w:val="Hyperlink"/>
          <w:rFonts w:cstheme="minorHAnsi"/>
          <w:sz w:val="21"/>
          <w:szCs w:val="21"/>
          <w:lang w:val="en-GB"/>
        </w:rPr>
        <w:t>d</w:t>
      </w:r>
      <w:r w:rsidR="009F5D75">
        <w:rPr>
          <w:rStyle w:val="Hyperlink"/>
          <w:rFonts w:cstheme="minorHAnsi"/>
          <w:sz w:val="21"/>
          <w:szCs w:val="21"/>
          <w:lang w:val="en-GB"/>
        </w:rPr>
        <w:t>e</w:t>
      </w:r>
    </w:p>
    <w:p w14:paraId="1ED8FB75" w14:textId="77777777" w:rsidR="007765C2" w:rsidRPr="007765C2" w:rsidRDefault="007765C2" w:rsidP="00E0317F">
      <w:pPr>
        <w:spacing w:after="0" w:line="240" w:lineRule="auto"/>
        <w:rPr>
          <w:b/>
          <w:bCs/>
        </w:rPr>
      </w:pPr>
      <w:r w:rsidRPr="007765C2">
        <w:rPr>
          <w:b/>
          <w:bCs/>
        </w:rPr>
        <w:t>Geschäftsstelle Expertenkommission Fracking</w:t>
      </w:r>
    </w:p>
    <w:p w14:paraId="387DAD81" w14:textId="77777777" w:rsidR="007765C2" w:rsidRPr="007765C2" w:rsidRDefault="007765C2" w:rsidP="00E0317F">
      <w:pPr>
        <w:spacing w:after="0" w:line="240" w:lineRule="auto"/>
        <w:rPr>
          <w:b/>
          <w:bCs/>
        </w:rPr>
      </w:pPr>
      <w:r w:rsidRPr="007765C2">
        <w:rPr>
          <w:b/>
          <w:bCs/>
        </w:rPr>
        <w:t>Zimmerstraße 26/27</w:t>
      </w:r>
    </w:p>
    <w:p w14:paraId="27A24447" w14:textId="236D7066" w:rsidR="00BA0BB4" w:rsidRPr="007765C2" w:rsidRDefault="007765C2" w:rsidP="00E0317F">
      <w:pPr>
        <w:spacing w:after="0" w:line="240" w:lineRule="auto"/>
        <w:rPr>
          <w:rFonts w:cstheme="minorHAnsi"/>
          <w:b/>
          <w:bCs/>
          <w:sz w:val="21"/>
          <w:szCs w:val="21"/>
        </w:rPr>
      </w:pPr>
      <w:r w:rsidRPr="007765C2">
        <w:rPr>
          <w:b/>
          <w:bCs/>
        </w:rPr>
        <w:t>10969 Berlin</w:t>
      </w:r>
    </w:p>
    <w:p w14:paraId="1DDB7A37" w14:textId="5E63ECE4" w:rsidR="0004521A" w:rsidRDefault="0004521A" w:rsidP="00E0317F">
      <w:pPr>
        <w:autoSpaceDE w:val="0"/>
        <w:autoSpaceDN w:val="0"/>
        <w:adjustRightInd w:val="0"/>
        <w:spacing w:after="0" w:line="240" w:lineRule="auto"/>
        <w:rPr>
          <w:rFonts w:cstheme="minorHAnsi"/>
          <w:sz w:val="21"/>
          <w:szCs w:val="21"/>
        </w:rPr>
      </w:pPr>
    </w:p>
    <w:p w14:paraId="3A83D19A" w14:textId="74752F50" w:rsidR="007765C2" w:rsidRDefault="007765C2" w:rsidP="007765C2">
      <w:pPr>
        <w:autoSpaceDE w:val="0"/>
        <w:autoSpaceDN w:val="0"/>
        <w:adjustRightInd w:val="0"/>
        <w:spacing w:after="0" w:line="240" w:lineRule="auto"/>
        <w:jc w:val="right"/>
        <w:rPr>
          <w:rFonts w:cstheme="minorHAnsi"/>
          <w:sz w:val="21"/>
          <w:szCs w:val="21"/>
        </w:rPr>
      </w:pPr>
      <w:r>
        <w:rPr>
          <w:rFonts w:cstheme="minorHAnsi"/>
          <w:sz w:val="21"/>
          <w:szCs w:val="21"/>
        </w:rPr>
        <w:t>Juni 2020</w:t>
      </w:r>
    </w:p>
    <w:p w14:paraId="7D438D6C" w14:textId="77777777" w:rsidR="007765C2" w:rsidRPr="0077324C" w:rsidRDefault="007765C2" w:rsidP="00E0317F">
      <w:pPr>
        <w:autoSpaceDE w:val="0"/>
        <w:autoSpaceDN w:val="0"/>
        <w:adjustRightInd w:val="0"/>
        <w:spacing w:after="0" w:line="240" w:lineRule="auto"/>
        <w:rPr>
          <w:rFonts w:cstheme="minorHAnsi"/>
          <w:sz w:val="21"/>
          <w:szCs w:val="21"/>
        </w:rPr>
      </w:pPr>
    </w:p>
    <w:p w14:paraId="33E46BAF" w14:textId="676E6466" w:rsidR="00733B0F" w:rsidRPr="00E0317F" w:rsidRDefault="00E0317F" w:rsidP="00E90164">
      <w:pPr>
        <w:autoSpaceDE w:val="0"/>
        <w:autoSpaceDN w:val="0"/>
        <w:adjustRightInd w:val="0"/>
        <w:spacing w:after="0" w:line="240" w:lineRule="auto"/>
        <w:rPr>
          <w:rFonts w:cstheme="minorHAnsi"/>
          <w:b/>
          <w:bCs/>
          <w:sz w:val="21"/>
          <w:szCs w:val="21"/>
        </w:rPr>
      </w:pPr>
      <w:r w:rsidRPr="00E0317F">
        <w:rPr>
          <w:rFonts w:cstheme="minorHAnsi"/>
          <w:b/>
          <w:bCs/>
          <w:sz w:val="21"/>
          <w:szCs w:val="21"/>
        </w:rPr>
        <w:t>Berichtsentwurf der Expertenkommission, Mai 2020</w:t>
      </w:r>
    </w:p>
    <w:p w14:paraId="110E84FC" w14:textId="24B63A27" w:rsidR="00E0317F" w:rsidRPr="00E0317F" w:rsidRDefault="00E0317F" w:rsidP="00E90164">
      <w:pPr>
        <w:autoSpaceDE w:val="0"/>
        <w:autoSpaceDN w:val="0"/>
        <w:adjustRightInd w:val="0"/>
        <w:spacing w:after="0" w:line="240" w:lineRule="auto"/>
        <w:rPr>
          <w:rFonts w:cstheme="minorHAnsi"/>
          <w:b/>
          <w:bCs/>
          <w:sz w:val="21"/>
          <w:szCs w:val="21"/>
        </w:rPr>
      </w:pPr>
      <w:r w:rsidRPr="00E0317F">
        <w:rPr>
          <w:rFonts w:cstheme="minorHAnsi"/>
          <w:b/>
          <w:bCs/>
          <w:sz w:val="21"/>
          <w:szCs w:val="21"/>
        </w:rPr>
        <w:t>Stellungnahme zur Notwendigkeit der Einführung eines zeitunabhängigen kompletten Fracking-Verbotes</w:t>
      </w:r>
    </w:p>
    <w:p w14:paraId="783603AE" w14:textId="77777777" w:rsidR="00733B0F" w:rsidRPr="0077324C" w:rsidRDefault="00733B0F" w:rsidP="00E90164">
      <w:pPr>
        <w:autoSpaceDE w:val="0"/>
        <w:autoSpaceDN w:val="0"/>
        <w:adjustRightInd w:val="0"/>
        <w:spacing w:after="0" w:line="240" w:lineRule="auto"/>
        <w:rPr>
          <w:rFonts w:cstheme="minorHAnsi"/>
          <w:sz w:val="21"/>
          <w:szCs w:val="21"/>
        </w:rPr>
      </w:pPr>
    </w:p>
    <w:p w14:paraId="07EC5990" w14:textId="77777777" w:rsidR="000561EB" w:rsidRPr="0077324C" w:rsidRDefault="000561EB" w:rsidP="00E90164">
      <w:pPr>
        <w:autoSpaceDE w:val="0"/>
        <w:autoSpaceDN w:val="0"/>
        <w:adjustRightInd w:val="0"/>
        <w:spacing w:after="0" w:line="240" w:lineRule="auto"/>
        <w:rPr>
          <w:rFonts w:cstheme="minorHAnsi"/>
          <w:sz w:val="21"/>
          <w:szCs w:val="21"/>
        </w:rPr>
      </w:pPr>
      <w:r w:rsidRPr="0077324C">
        <w:rPr>
          <w:rFonts w:cstheme="minorHAnsi"/>
          <w:sz w:val="21"/>
          <w:szCs w:val="21"/>
        </w:rPr>
        <w:t>Sehr geehrte Damen und Herren,</w:t>
      </w:r>
    </w:p>
    <w:p w14:paraId="1134AB07" w14:textId="77777777" w:rsidR="000561EB" w:rsidRPr="0077324C" w:rsidRDefault="000561EB" w:rsidP="00E90164">
      <w:pPr>
        <w:autoSpaceDE w:val="0"/>
        <w:autoSpaceDN w:val="0"/>
        <w:adjustRightInd w:val="0"/>
        <w:spacing w:after="0" w:line="240" w:lineRule="auto"/>
        <w:rPr>
          <w:rFonts w:cstheme="minorHAnsi"/>
          <w:sz w:val="21"/>
          <w:szCs w:val="21"/>
        </w:rPr>
      </w:pPr>
    </w:p>
    <w:p w14:paraId="2C91EA7C" w14:textId="481970F4" w:rsidR="00D05A4A" w:rsidRPr="0077324C" w:rsidRDefault="00D05A4A" w:rsidP="00E90164">
      <w:pPr>
        <w:autoSpaceDE w:val="0"/>
        <w:autoSpaceDN w:val="0"/>
        <w:adjustRightInd w:val="0"/>
        <w:spacing w:after="0" w:line="240" w:lineRule="auto"/>
        <w:rPr>
          <w:rFonts w:cstheme="minorHAnsi"/>
          <w:sz w:val="21"/>
          <w:szCs w:val="21"/>
        </w:rPr>
      </w:pPr>
      <w:r w:rsidRPr="0077324C">
        <w:rPr>
          <w:rFonts w:cstheme="minorHAnsi"/>
          <w:sz w:val="21"/>
          <w:szCs w:val="21"/>
        </w:rPr>
        <w:t>Bez</w:t>
      </w:r>
      <w:r w:rsidR="0062626C" w:rsidRPr="0077324C">
        <w:rPr>
          <w:rFonts w:cstheme="minorHAnsi"/>
          <w:sz w:val="21"/>
          <w:szCs w:val="21"/>
        </w:rPr>
        <w:t xml:space="preserve">ugnehmend auf den </w:t>
      </w:r>
      <w:r w:rsidR="00733B0F" w:rsidRPr="0077324C">
        <w:rPr>
          <w:rFonts w:cstheme="minorHAnsi"/>
          <w:sz w:val="21"/>
          <w:szCs w:val="21"/>
        </w:rPr>
        <w:t>o.g. Entwurf</w:t>
      </w:r>
      <w:r w:rsidR="00E0317F">
        <w:rPr>
          <w:rStyle w:val="Endnotenzeichen"/>
          <w:rFonts w:cstheme="minorHAnsi"/>
          <w:sz w:val="21"/>
          <w:szCs w:val="21"/>
        </w:rPr>
        <w:endnoteReference w:id="1"/>
      </w:r>
      <w:r w:rsidR="00733B0F" w:rsidRPr="0077324C">
        <w:rPr>
          <w:rFonts w:cstheme="minorHAnsi"/>
          <w:sz w:val="21"/>
          <w:szCs w:val="21"/>
        </w:rPr>
        <w:t xml:space="preserve"> </w:t>
      </w:r>
      <w:r w:rsidR="009A6984" w:rsidRPr="0077324C">
        <w:rPr>
          <w:rFonts w:cstheme="minorHAnsi"/>
          <w:sz w:val="21"/>
          <w:szCs w:val="21"/>
        </w:rPr>
        <w:t>verweis</w:t>
      </w:r>
      <w:r w:rsidR="00E0317F">
        <w:rPr>
          <w:rFonts w:cstheme="minorHAnsi"/>
          <w:sz w:val="21"/>
          <w:szCs w:val="21"/>
        </w:rPr>
        <w:t xml:space="preserve">e ich </w:t>
      </w:r>
      <w:r w:rsidR="009A6984" w:rsidRPr="0077324C">
        <w:rPr>
          <w:rFonts w:cstheme="minorHAnsi"/>
          <w:sz w:val="21"/>
          <w:szCs w:val="21"/>
        </w:rPr>
        <w:t xml:space="preserve">auf </w:t>
      </w:r>
      <w:r w:rsidR="00E0317F">
        <w:rPr>
          <w:rFonts w:cstheme="minorHAnsi"/>
          <w:sz w:val="21"/>
          <w:szCs w:val="21"/>
        </w:rPr>
        <w:t>die Notwendigkeit der Einführung eines zeitunabhängigen kompletten Fracking-Verbotes und begründe dies wie folgt:</w:t>
      </w:r>
    </w:p>
    <w:p w14:paraId="7883D828" w14:textId="75087801" w:rsidR="00733B0F" w:rsidRPr="0077324C" w:rsidRDefault="00733B0F" w:rsidP="00E90164">
      <w:pPr>
        <w:autoSpaceDE w:val="0"/>
        <w:autoSpaceDN w:val="0"/>
        <w:adjustRightInd w:val="0"/>
        <w:spacing w:after="0" w:line="240" w:lineRule="auto"/>
        <w:rPr>
          <w:rFonts w:cstheme="minorHAnsi"/>
          <w:sz w:val="21"/>
          <w:szCs w:val="21"/>
        </w:rPr>
      </w:pPr>
    </w:p>
    <w:p w14:paraId="60F0B9C5" w14:textId="4D38CB72" w:rsidR="00733B0F" w:rsidRPr="0077324C" w:rsidRDefault="00733B0F" w:rsidP="00733B0F">
      <w:pPr>
        <w:pStyle w:val="Listenabsatz"/>
        <w:numPr>
          <w:ilvl w:val="0"/>
          <w:numId w:val="11"/>
        </w:numPr>
        <w:autoSpaceDE w:val="0"/>
        <w:autoSpaceDN w:val="0"/>
        <w:adjustRightInd w:val="0"/>
        <w:spacing w:after="0" w:line="240" w:lineRule="auto"/>
        <w:rPr>
          <w:rFonts w:cstheme="minorHAnsi"/>
          <w:b/>
          <w:bCs/>
          <w:sz w:val="21"/>
          <w:szCs w:val="21"/>
        </w:rPr>
      </w:pPr>
      <w:r w:rsidRPr="0077324C">
        <w:rPr>
          <w:rFonts w:cstheme="minorHAnsi"/>
          <w:b/>
          <w:bCs/>
          <w:sz w:val="21"/>
          <w:szCs w:val="21"/>
        </w:rPr>
        <w:t xml:space="preserve">Kunstbegriff </w:t>
      </w:r>
      <w:r w:rsidR="00A750B2" w:rsidRPr="0077324C">
        <w:rPr>
          <w:rFonts w:cstheme="minorHAnsi"/>
          <w:b/>
          <w:bCs/>
          <w:sz w:val="21"/>
          <w:szCs w:val="21"/>
        </w:rPr>
        <w:t>„</w:t>
      </w:r>
      <w:r w:rsidRPr="0077324C">
        <w:rPr>
          <w:rFonts w:cstheme="minorHAnsi"/>
          <w:b/>
          <w:bCs/>
          <w:sz w:val="21"/>
          <w:szCs w:val="21"/>
        </w:rPr>
        <w:t>konventionelles Fracking</w:t>
      </w:r>
      <w:r w:rsidR="00A750B2" w:rsidRPr="0077324C">
        <w:rPr>
          <w:rFonts w:cstheme="minorHAnsi"/>
          <w:b/>
          <w:bCs/>
          <w:sz w:val="21"/>
          <w:szCs w:val="21"/>
        </w:rPr>
        <w:t>“</w:t>
      </w:r>
      <w:r w:rsidRPr="0077324C">
        <w:rPr>
          <w:rFonts w:cstheme="minorHAnsi"/>
          <w:b/>
          <w:bCs/>
          <w:sz w:val="21"/>
          <w:szCs w:val="21"/>
        </w:rPr>
        <w:t xml:space="preserve"> muss gestrichen und ein komplettes Fracking-Verbot eingeführt werden</w:t>
      </w:r>
    </w:p>
    <w:p w14:paraId="5771F6D8" w14:textId="5E0FFB86" w:rsidR="00733B0F" w:rsidRPr="0077324C" w:rsidRDefault="00733B0F" w:rsidP="00733B0F">
      <w:pPr>
        <w:autoSpaceDE w:val="0"/>
        <w:autoSpaceDN w:val="0"/>
        <w:adjustRightInd w:val="0"/>
        <w:spacing w:after="0" w:line="240" w:lineRule="auto"/>
        <w:rPr>
          <w:rFonts w:cstheme="minorHAnsi"/>
          <w:sz w:val="21"/>
          <w:szCs w:val="21"/>
        </w:rPr>
      </w:pPr>
    </w:p>
    <w:p w14:paraId="6A3FBBA6" w14:textId="1AFFEFF0" w:rsidR="0073595C" w:rsidRPr="0077324C" w:rsidRDefault="0073595C" w:rsidP="00733B0F">
      <w:pPr>
        <w:autoSpaceDE w:val="0"/>
        <w:autoSpaceDN w:val="0"/>
        <w:adjustRightInd w:val="0"/>
        <w:spacing w:after="0" w:line="240" w:lineRule="auto"/>
        <w:rPr>
          <w:rFonts w:cstheme="minorHAnsi"/>
          <w:sz w:val="21"/>
          <w:szCs w:val="21"/>
        </w:rPr>
      </w:pPr>
      <w:r w:rsidRPr="0077324C">
        <w:rPr>
          <w:rFonts w:cstheme="minorHAnsi"/>
          <w:sz w:val="21"/>
          <w:szCs w:val="21"/>
        </w:rPr>
        <w:t>Mit der Fracking-Technik können Erdgas wie auch Erdöl in verschiedenen Horizonten und Lagerstätten (z.B. Schiefer-/Sand- und/oder Kohleflözgesteine) erschlossen werden. Die damit verbundenen Gefährdungen und Risiken entstehen bei der Erdgas- und Erdölförderung</w:t>
      </w:r>
      <w:r w:rsidR="005E1012">
        <w:rPr>
          <w:rFonts w:cstheme="minorHAnsi"/>
          <w:sz w:val="21"/>
          <w:szCs w:val="21"/>
        </w:rPr>
        <w:t xml:space="preserve"> und unabhängig von der Lagerstätte</w:t>
      </w:r>
      <w:r w:rsidRPr="0077324C">
        <w:rPr>
          <w:rFonts w:cstheme="minorHAnsi"/>
          <w:sz w:val="21"/>
          <w:szCs w:val="21"/>
        </w:rPr>
        <w:t xml:space="preserve"> gleichermaßen. Daher ist eine Gleichbehandlung geboten. </w:t>
      </w:r>
    </w:p>
    <w:p w14:paraId="113C2DF1" w14:textId="77777777" w:rsidR="0073595C" w:rsidRPr="0077324C" w:rsidRDefault="0073595C" w:rsidP="00733B0F">
      <w:pPr>
        <w:autoSpaceDE w:val="0"/>
        <w:autoSpaceDN w:val="0"/>
        <w:adjustRightInd w:val="0"/>
        <w:spacing w:after="0" w:line="240" w:lineRule="auto"/>
        <w:rPr>
          <w:rFonts w:cstheme="minorHAnsi"/>
          <w:sz w:val="21"/>
          <w:szCs w:val="21"/>
        </w:rPr>
      </w:pPr>
    </w:p>
    <w:p w14:paraId="4A3BA5C8" w14:textId="1CE9B7B6" w:rsidR="0073595C" w:rsidRPr="0077324C" w:rsidRDefault="0073595C" w:rsidP="00733B0F">
      <w:pPr>
        <w:autoSpaceDE w:val="0"/>
        <w:autoSpaceDN w:val="0"/>
        <w:adjustRightInd w:val="0"/>
        <w:spacing w:after="0" w:line="240" w:lineRule="auto"/>
        <w:rPr>
          <w:rFonts w:cstheme="minorHAnsi"/>
          <w:sz w:val="21"/>
          <w:szCs w:val="21"/>
        </w:rPr>
      </w:pPr>
      <w:r w:rsidRPr="0077324C">
        <w:rPr>
          <w:rFonts w:cstheme="minorHAnsi"/>
          <w:sz w:val="21"/>
          <w:szCs w:val="21"/>
        </w:rPr>
        <w:t>Es gibt daher kein "konventionelles oder unkonventionelles Fracking“, das sich in Verbindung mit einer bestimmten Gesteinsschicht definieren lässt. Als „unkonventionell“ werden lediglich Lagerstätten bezeichnet, die der Stimulation, d.h. des Frackings, zwecks Förderung der Kohlenwasserstoffe bedürfen.</w:t>
      </w:r>
    </w:p>
    <w:p w14:paraId="4D398F6B" w14:textId="343FCE98" w:rsidR="0073595C" w:rsidRPr="0077324C" w:rsidRDefault="0073595C" w:rsidP="00733B0F">
      <w:pPr>
        <w:autoSpaceDE w:val="0"/>
        <w:autoSpaceDN w:val="0"/>
        <w:adjustRightInd w:val="0"/>
        <w:spacing w:after="0" w:line="240" w:lineRule="auto"/>
        <w:rPr>
          <w:rFonts w:cstheme="minorHAnsi"/>
          <w:sz w:val="21"/>
          <w:szCs w:val="21"/>
        </w:rPr>
      </w:pPr>
    </w:p>
    <w:p w14:paraId="39FC13E6" w14:textId="7ABB869F" w:rsidR="006D596C" w:rsidRPr="0077324C" w:rsidRDefault="0073595C" w:rsidP="00733B0F">
      <w:pPr>
        <w:autoSpaceDE w:val="0"/>
        <w:autoSpaceDN w:val="0"/>
        <w:adjustRightInd w:val="0"/>
        <w:spacing w:after="0" w:line="240" w:lineRule="auto"/>
        <w:rPr>
          <w:rFonts w:cstheme="minorHAnsi"/>
          <w:sz w:val="21"/>
          <w:szCs w:val="21"/>
        </w:rPr>
      </w:pPr>
      <w:r w:rsidRPr="0077324C">
        <w:rPr>
          <w:rFonts w:cstheme="minorHAnsi"/>
          <w:sz w:val="21"/>
          <w:szCs w:val="21"/>
        </w:rPr>
        <w:t>Die durch die deutsche Bundesregierung i</w:t>
      </w:r>
      <w:r w:rsidR="00862C56" w:rsidRPr="0077324C">
        <w:rPr>
          <w:rFonts w:cstheme="minorHAnsi"/>
          <w:sz w:val="21"/>
          <w:szCs w:val="21"/>
        </w:rPr>
        <w:t>m</w:t>
      </w:r>
      <w:r w:rsidRPr="0077324C">
        <w:rPr>
          <w:rFonts w:cstheme="minorHAnsi"/>
          <w:sz w:val="21"/>
          <w:szCs w:val="21"/>
        </w:rPr>
        <w:t xml:space="preserve"> jetzige</w:t>
      </w:r>
      <w:r w:rsidR="00862C56" w:rsidRPr="0077324C">
        <w:rPr>
          <w:rFonts w:cstheme="minorHAnsi"/>
          <w:sz w:val="21"/>
          <w:szCs w:val="21"/>
        </w:rPr>
        <w:t>n</w:t>
      </w:r>
      <w:r w:rsidRPr="0077324C">
        <w:rPr>
          <w:rFonts w:cstheme="minorHAnsi"/>
          <w:sz w:val="21"/>
          <w:szCs w:val="21"/>
        </w:rPr>
        <w:t xml:space="preserve"> Rechtsrahmen eingeführten Begriffe des "konventionellen und unkonventionellen Frackings" sind Wort</w:t>
      </w:r>
      <w:r w:rsidR="00F15EE3">
        <w:rPr>
          <w:rFonts w:cstheme="minorHAnsi"/>
          <w:sz w:val="21"/>
          <w:szCs w:val="21"/>
        </w:rPr>
        <w:t>-K</w:t>
      </w:r>
      <w:r w:rsidRPr="0077324C">
        <w:rPr>
          <w:rFonts w:cstheme="minorHAnsi"/>
          <w:sz w:val="21"/>
          <w:szCs w:val="21"/>
        </w:rPr>
        <w:t>onstrukte, die einzig und allein politisch motiviert sind</w:t>
      </w:r>
      <w:r w:rsidR="006D596C" w:rsidRPr="0077324C">
        <w:rPr>
          <w:rFonts w:cstheme="minorHAnsi"/>
          <w:sz w:val="21"/>
          <w:szCs w:val="21"/>
        </w:rPr>
        <w:t>.</w:t>
      </w:r>
    </w:p>
    <w:p w14:paraId="4FA8E7D6" w14:textId="77777777" w:rsidR="006D596C" w:rsidRPr="0077324C" w:rsidRDefault="006D596C" w:rsidP="00733B0F">
      <w:pPr>
        <w:autoSpaceDE w:val="0"/>
        <w:autoSpaceDN w:val="0"/>
        <w:adjustRightInd w:val="0"/>
        <w:spacing w:after="0" w:line="240" w:lineRule="auto"/>
        <w:rPr>
          <w:rFonts w:cstheme="minorHAnsi"/>
          <w:sz w:val="21"/>
          <w:szCs w:val="21"/>
        </w:rPr>
      </w:pPr>
    </w:p>
    <w:p w14:paraId="069CEA29" w14:textId="34E9832E" w:rsidR="0073595C" w:rsidRPr="0077324C" w:rsidRDefault="0073595C" w:rsidP="00733B0F">
      <w:pPr>
        <w:autoSpaceDE w:val="0"/>
        <w:autoSpaceDN w:val="0"/>
        <w:adjustRightInd w:val="0"/>
        <w:spacing w:after="0" w:line="240" w:lineRule="auto"/>
        <w:rPr>
          <w:rFonts w:cstheme="minorHAnsi"/>
          <w:sz w:val="21"/>
          <w:szCs w:val="21"/>
        </w:rPr>
      </w:pPr>
      <w:r w:rsidRPr="0077324C">
        <w:rPr>
          <w:rFonts w:cstheme="minorHAnsi"/>
          <w:sz w:val="21"/>
          <w:szCs w:val="21"/>
        </w:rPr>
        <w:t>Sie</w:t>
      </w:r>
      <w:r w:rsidR="00252AF4">
        <w:rPr>
          <w:rFonts w:cstheme="minorHAnsi"/>
          <w:sz w:val="21"/>
          <w:szCs w:val="21"/>
        </w:rPr>
        <w:t xml:space="preserve"> sollen</w:t>
      </w:r>
      <w:r w:rsidRPr="0077324C">
        <w:rPr>
          <w:rFonts w:cstheme="minorHAnsi"/>
          <w:sz w:val="21"/>
          <w:szCs w:val="21"/>
        </w:rPr>
        <w:t xml:space="preserve"> den Bürger*</w:t>
      </w:r>
      <w:r w:rsidR="0004279E">
        <w:rPr>
          <w:rFonts w:cstheme="minorHAnsi"/>
          <w:sz w:val="21"/>
          <w:szCs w:val="21"/>
        </w:rPr>
        <w:t>i</w:t>
      </w:r>
      <w:r w:rsidRPr="0077324C">
        <w:rPr>
          <w:rFonts w:cstheme="minorHAnsi"/>
          <w:sz w:val="21"/>
          <w:szCs w:val="21"/>
        </w:rPr>
        <w:t>nnen</w:t>
      </w:r>
      <w:r w:rsidR="006D596C" w:rsidRPr="0077324C">
        <w:rPr>
          <w:rFonts w:cstheme="minorHAnsi"/>
          <w:sz w:val="21"/>
          <w:szCs w:val="21"/>
        </w:rPr>
        <w:t xml:space="preserve"> suggerieren</w:t>
      </w:r>
      <w:r w:rsidRPr="0077324C">
        <w:rPr>
          <w:rFonts w:cstheme="minorHAnsi"/>
          <w:sz w:val="21"/>
          <w:szCs w:val="21"/>
        </w:rPr>
        <w:t>, dass es einen Unterschied zwischen "gutem" und "schlechtem" Fracking gibt. Dabei resultieren die Kunstbegriffe "konventionelles Fracking" bzw. "unkonventionelles Fracking" einzig und</w:t>
      </w:r>
      <w:r w:rsidR="0004279E">
        <w:rPr>
          <w:rFonts w:cstheme="minorHAnsi"/>
          <w:sz w:val="21"/>
          <w:szCs w:val="21"/>
        </w:rPr>
        <w:t xml:space="preserve"> </w:t>
      </w:r>
      <w:r w:rsidRPr="0077324C">
        <w:rPr>
          <w:rFonts w:cstheme="minorHAnsi"/>
          <w:sz w:val="21"/>
          <w:szCs w:val="21"/>
        </w:rPr>
        <w:t>allein aus dem weltweit einzigartigen, unseriösen Versuch, Tight-Gas (im Sandstein gefangenes Erdgas) den konventionellen Lagerstätten zuzuordnen.</w:t>
      </w:r>
    </w:p>
    <w:p w14:paraId="5AC019CA" w14:textId="77777777" w:rsidR="0073595C" w:rsidRPr="0077324C" w:rsidRDefault="0073595C" w:rsidP="00733B0F">
      <w:pPr>
        <w:autoSpaceDE w:val="0"/>
        <w:autoSpaceDN w:val="0"/>
        <w:adjustRightInd w:val="0"/>
        <w:spacing w:after="0" w:line="240" w:lineRule="auto"/>
        <w:rPr>
          <w:rFonts w:cstheme="minorHAnsi"/>
          <w:sz w:val="21"/>
          <w:szCs w:val="21"/>
        </w:rPr>
      </w:pPr>
    </w:p>
    <w:p w14:paraId="1C1DAF4F" w14:textId="5C9EB158" w:rsidR="0073595C" w:rsidRPr="0077324C" w:rsidRDefault="0073595C" w:rsidP="00733B0F">
      <w:pPr>
        <w:autoSpaceDE w:val="0"/>
        <w:autoSpaceDN w:val="0"/>
        <w:adjustRightInd w:val="0"/>
        <w:spacing w:after="0" w:line="240" w:lineRule="auto"/>
        <w:rPr>
          <w:rFonts w:cstheme="minorHAnsi"/>
          <w:sz w:val="21"/>
          <w:szCs w:val="21"/>
        </w:rPr>
      </w:pPr>
      <w:r w:rsidRPr="0077324C">
        <w:rPr>
          <w:rFonts w:cstheme="minorHAnsi"/>
          <w:sz w:val="21"/>
          <w:szCs w:val="21"/>
        </w:rPr>
        <w:t xml:space="preserve">Dies, obwohl </w:t>
      </w:r>
      <w:r w:rsidR="00862C56" w:rsidRPr="0077324C">
        <w:rPr>
          <w:rFonts w:cstheme="minorHAnsi"/>
          <w:sz w:val="21"/>
          <w:szCs w:val="21"/>
        </w:rPr>
        <w:t>seit Beginn der Debatte u.a. auch</w:t>
      </w:r>
      <w:r w:rsidRPr="0077324C">
        <w:rPr>
          <w:rFonts w:cstheme="minorHAnsi"/>
          <w:sz w:val="21"/>
          <w:szCs w:val="21"/>
        </w:rPr>
        <w:t xml:space="preserve"> ExxonMobil</w:t>
      </w:r>
      <w:r w:rsidR="00862C56" w:rsidRPr="0077324C">
        <w:rPr>
          <w:rStyle w:val="Endnotenzeichen"/>
          <w:rFonts w:cstheme="minorHAnsi"/>
          <w:sz w:val="21"/>
          <w:szCs w:val="21"/>
        </w:rPr>
        <w:endnoteReference w:id="2"/>
      </w:r>
      <w:r w:rsidRPr="0077324C">
        <w:rPr>
          <w:rFonts w:cstheme="minorHAnsi"/>
          <w:sz w:val="21"/>
          <w:szCs w:val="21"/>
        </w:rPr>
        <w:t>, das Deutsche Institut für Wirtschaftsforschung (DIW)</w:t>
      </w:r>
      <w:r w:rsidR="00862C56" w:rsidRPr="0077324C">
        <w:rPr>
          <w:rStyle w:val="Endnotenzeichen"/>
          <w:rFonts w:cstheme="minorHAnsi"/>
          <w:sz w:val="21"/>
          <w:szCs w:val="21"/>
        </w:rPr>
        <w:endnoteReference w:id="3"/>
      </w:r>
      <w:r w:rsidR="00862C56" w:rsidRPr="0077324C">
        <w:rPr>
          <w:rFonts w:cstheme="minorHAnsi"/>
          <w:sz w:val="21"/>
          <w:szCs w:val="21"/>
        </w:rPr>
        <w:t>, d</w:t>
      </w:r>
      <w:r w:rsidRPr="0077324C">
        <w:rPr>
          <w:rFonts w:cstheme="minorHAnsi"/>
          <w:sz w:val="21"/>
          <w:szCs w:val="21"/>
        </w:rPr>
        <w:t>ie Bundesanstalt für Geowissenschaften und Rohstoffe (BGR)</w:t>
      </w:r>
      <w:r w:rsidR="00A750B2" w:rsidRPr="0077324C">
        <w:rPr>
          <w:rStyle w:val="Endnotenzeichen"/>
          <w:rFonts w:cstheme="minorHAnsi"/>
          <w:sz w:val="21"/>
          <w:szCs w:val="21"/>
        </w:rPr>
        <w:endnoteReference w:id="4"/>
      </w:r>
      <w:r w:rsidR="00A750B2" w:rsidRPr="0077324C">
        <w:rPr>
          <w:rFonts w:cstheme="minorHAnsi"/>
          <w:sz w:val="21"/>
          <w:szCs w:val="21"/>
        </w:rPr>
        <w:t xml:space="preserve"> und der Wissenschaftliche Dienst des Europäischen Parlamentes</w:t>
      </w:r>
      <w:r w:rsidR="00A750B2" w:rsidRPr="0077324C">
        <w:rPr>
          <w:rStyle w:val="Endnotenzeichen"/>
          <w:rFonts w:cstheme="minorHAnsi"/>
          <w:sz w:val="21"/>
          <w:szCs w:val="21"/>
        </w:rPr>
        <w:endnoteReference w:id="5"/>
      </w:r>
      <w:r w:rsidR="00A750B2" w:rsidRPr="0077324C">
        <w:rPr>
          <w:rFonts w:cstheme="minorHAnsi"/>
          <w:sz w:val="21"/>
          <w:szCs w:val="21"/>
        </w:rPr>
        <w:t>,</w:t>
      </w:r>
      <w:r w:rsidRPr="0077324C">
        <w:rPr>
          <w:rFonts w:cstheme="minorHAnsi"/>
          <w:sz w:val="21"/>
          <w:szCs w:val="21"/>
        </w:rPr>
        <w:t xml:space="preserve"> Tight-Gas-Lagerstätten</w:t>
      </w:r>
      <w:r w:rsidR="00862C56" w:rsidRPr="0077324C">
        <w:rPr>
          <w:rFonts w:cstheme="minorHAnsi"/>
          <w:sz w:val="21"/>
          <w:szCs w:val="21"/>
        </w:rPr>
        <w:t xml:space="preserve"> </w:t>
      </w:r>
      <w:r w:rsidRPr="0077324C">
        <w:rPr>
          <w:rFonts w:cstheme="minorHAnsi"/>
          <w:sz w:val="21"/>
          <w:szCs w:val="21"/>
        </w:rPr>
        <w:t>als unkonventionell</w:t>
      </w:r>
      <w:r w:rsidR="00A750B2" w:rsidRPr="0077324C">
        <w:rPr>
          <w:rFonts w:cstheme="minorHAnsi"/>
          <w:sz w:val="21"/>
          <w:szCs w:val="21"/>
        </w:rPr>
        <w:t>e Lagerstätten d</w:t>
      </w:r>
      <w:r w:rsidRPr="0077324C">
        <w:rPr>
          <w:rFonts w:cstheme="minorHAnsi"/>
          <w:sz w:val="21"/>
          <w:szCs w:val="21"/>
        </w:rPr>
        <w:t>efinier</w:t>
      </w:r>
      <w:r w:rsidR="00862C56" w:rsidRPr="0077324C">
        <w:rPr>
          <w:rFonts w:cstheme="minorHAnsi"/>
          <w:sz w:val="21"/>
          <w:szCs w:val="21"/>
        </w:rPr>
        <w:t>t hatten und haben</w:t>
      </w:r>
      <w:r w:rsidRPr="0077324C">
        <w:rPr>
          <w:rFonts w:cstheme="minorHAnsi"/>
          <w:sz w:val="21"/>
          <w:szCs w:val="21"/>
        </w:rPr>
        <w:t xml:space="preserve">. </w:t>
      </w:r>
    </w:p>
    <w:p w14:paraId="2AA1237B" w14:textId="77777777" w:rsidR="0073595C" w:rsidRPr="0077324C" w:rsidRDefault="0073595C" w:rsidP="00733B0F">
      <w:pPr>
        <w:autoSpaceDE w:val="0"/>
        <w:autoSpaceDN w:val="0"/>
        <w:adjustRightInd w:val="0"/>
        <w:spacing w:after="0" w:line="240" w:lineRule="auto"/>
        <w:rPr>
          <w:rFonts w:cstheme="minorHAnsi"/>
          <w:sz w:val="21"/>
          <w:szCs w:val="21"/>
        </w:rPr>
      </w:pPr>
    </w:p>
    <w:p w14:paraId="0227ADDD" w14:textId="78C06874" w:rsidR="00690467" w:rsidRPr="0077324C" w:rsidRDefault="00A750B2" w:rsidP="00733B0F">
      <w:pPr>
        <w:autoSpaceDE w:val="0"/>
        <w:autoSpaceDN w:val="0"/>
        <w:adjustRightInd w:val="0"/>
        <w:spacing w:after="0" w:line="240" w:lineRule="auto"/>
        <w:rPr>
          <w:rFonts w:cstheme="minorHAnsi"/>
          <w:sz w:val="21"/>
          <w:szCs w:val="21"/>
        </w:rPr>
      </w:pPr>
      <w:r w:rsidRPr="0077324C">
        <w:rPr>
          <w:rFonts w:cstheme="minorHAnsi"/>
          <w:sz w:val="21"/>
          <w:szCs w:val="21"/>
        </w:rPr>
        <w:t>Der Einfachheit halber</w:t>
      </w:r>
      <w:r w:rsidR="0073595C" w:rsidRPr="0077324C">
        <w:rPr>
          <w:rFonts w:cstheme="minorHAnsi"/>
          <w:sz w:val="21"/>
          <w:szCs w:val="21"/>
        </w:rPr>
        <w:t xml:space="preserve"> zitiere</w:t>
      </w:r>
      <w:r w:rsidR="005E1012">
        <w:rPr>
          <w:rFonts w:cstheme="minorHAnsi"/>
          <w:sz w:val="21"/>
          <w:szCs w:val="21"/>
        </w:rPr>
        <w:t xml:space="preserve"> ich</w:t>
      </w:r>
      <w:r w:rsidR="0073595C" w:rsidRPr="0077324C">
        <w:rPr>
          <w:rFonts w:cstheme="minorHAnsi"/>
          <w:sz w:val="21"/>
          <w:szCs w:val="21"/>
        </w:rPr>
        <w:t xml:space="preserve"> hier an dieser Stelle </w:t>
      </w:r>
      <w:r w:rsidRPr="0077324C">
        <w:rPr>
          <w:rFonts w:cstheme="minorHAnsi"/>
          <w:sz w:val="21"/>
          <w:szCs w:val="21"/>
        </w:rPr>
        <w:t xml:space="preserve">nur </w:t>
      </w:r>
      <w:r w:rsidR="0073595C" w:rsidRPr="0077324C">
        <w:rPr>
          <w:rFonts w:cstheme="minorHAnsi"/>
          <w:sz w:val="21"/>
          <w:szCs w:val="21"/>
        </w:rPr>
        <w:t>die BGR:</w:t>
      </w:r>
    </w:p>
    <w:p w14:paraId="5575BADE" w14:textId="77777777" w:rsidR="00690467" w:rsidRPr="0077324C" w:rsidRDefault="00690467" w:rsidP="00733B0F">
      <w:pPr>
        <w:autoSpaceDE w:val="0"/>
        <w:autoSpaceDN w:val="0"/>
        <w:adjustRightInd w:val="0"/>
        <w:spacing w:after="0" w:line="240" w:lineRule="auto"/>
        <w:rPr>
          <w:rFonts w:cstheme="minorHAnsi"/>
          <w:sz w:val="21"/>
          <w:szCs w:val="21"/>
        </w:rPr>
      </w:pPr>
    </w:p>
    <w:p w14:paraId="7E00D23C" w14:textId="77777777" w:rsidR="00316807" w:rsidRDefault="0073595C" w:rsidP="00733B0F">
      <w:pPr>
        <w:autoSpaceDE w:val="0"/>
        <w:autoSpaceDN w:val="0"/>
        <w:adjustRightInd w:val="0"/>
        <w:spacing w:after="0" w:line="240" w:lineRule="auto"/>
        <w:rPr>
          <w:rFonts w:cstheme="minorHAnsi"/>
          <w:i/>
          <w:iCs/>
          <w:sz w:val="21"/>
          <w:szCs w:val="21"/>
        </w:rPr>
      </w:pPr>
      <w:r w:rsidRPr="0077324C">
        <w:rPr>
          <w:rFonts w:cstheme="minorHAnsi"/>
          <w:sz w:val="21"/>
          <w:szCs w:val="21"/>
        </w:rPr>
        <w:t>"</w:t>
      </w:r>
      <w:r w:rsidR="00A750B2" w:rsidRPr="0077324C">
        <w:rPr>
          <w:rFonts w:cstheme="minorHAnsi"/>
          <w:i/>
          <w:iCs/>
          <w:sz w:val="21"/>
          <w:szCs w:val="21"/>
        </w:rPr>
        <w:t xml:space="preserve">Beim nicht-konventionellen Erdgas ist die Definition klarer und bezieht sich auf den Typ des Vorkommens bzw. der Lagerstätte und wird daher auch in korrekter Weise als Erdgas aus nicht-konventionellen Vorkommen bezeichnet. Die bekanntesten Vorkommen sind Tight Gas, Schiefergas und Kohleflözgas (Coalbed Methan – CBM). Diese Vorkommen strömen nicht ohne weitere technische Maßnahmen (meist </w:t>
      </w:r>
    </w:p>
    <w:p w14:paraId="74806185" w14:textId="77777777" w:rsidR="00316807" w:rsidRDefault="00316807" w:rsidP="00733B0F">
      <w:pPr>
        <w:autoSpaceDE w:val="0"/>
        <w:autoSpaceDN w:val="0"/>
        <w:adjustRightInd w:val="0"/>
        <w:spacing w:after="0" w:line="240" w:lineRule="auto"/>
        <w:rPr>
          <w:rFonts w:cstheme="minorHAnsi"/>
          <w:i/>
          <w:iCs/>
          <w:sz w:val="21"/>
          <w:szCs w:val="21"/>
        </w:rPr>
      </w:pPr>
    </w:p>
    <w:p w14:paraId="086362A4" w14:textId="77777777" w:rsidR="00316807" w:rsidRDefault="00316807" w:rsidP="00733B0F">
      <w:pPr>
        <w:autoSpaceDE w:val="0"/>
        <w:autoSpaceDN w:val="0"/>
        <w:adjustRightInd w:val="0"/>
        <w:spacing w:after="0" w:line="240" w:lineRule="auto"/>
        <w:rPr>
          <w:rFonts w:cstheme="minorHAnsi"/>
          <w:i/>
          <w:iCs/>
          <w:sz w:val="21"/>
          <w:szCs w:val="21"/>
        </w:rPr>
      </w:pPr>
    </w:p>
    <w:p w14:paraId="26311EB8" w14:textId="37065122" w:rsidR="0073595C" w:rsidRPr="0077324C" w:rsidRDefault="00A750B2" w:rsidP="00733B0F">
      <w:pPr>
        <w:autoSpaceDE w:val="0"/>
        <w:autoSpaceDN w:val="0"/>
        <w:adjustRightInd w:val="0"/>
        <w:spacing w:after="0" w:line="240" w:lineRule="auto"/>
        <w:rPr>
          <w:rFonts w:cstheme="minorHAnsi"/>
          <w:sz w:val="21"/>
          <w:szCs w:val="21"/>
        </w:rPr>
      </w:pPr>
      <w:r w:rsidRPr="0077324C">
        <w:rPr>
          <w:rFonts w:cstheme="minorHAnsi"/>
          <w:i/>
          <w:iCs/>
          <w:sz w:val="21"/>
          <w:szCs w:val="21"/>
        </w:rPr>
        <w:t>Fracking-Verfahren) in ausreichender Menge einer Förderbohrung zu, weil es entweder nicht in freier Gasphase im Gestein vorkommt oder das Speichergestein nicht ausreichend durchlässig ist. Weitere Formen von nicht-konventionellem Erdgas sind Aquifergas und Gashydrate</w:t>
      </w:r>
      <w:r w:rsidR="0073595C" w:rsidRPr="0077324C">
        <w:rPr>
          <w:rFonts w:cstheme="minorHAnsi"/>
          <w:sz w:val="21"/>
          <w:szCs w:val="21"/>
        </w:rPr>
        <w:t>."</w:t>
      </w:r>
    </w:p>
    <w:p w14:paraId="0767AC1F" w14:textId="724D41CB" w:rsidR="00733B0F" w:rsidRPr="0077324C" w:rsidRDefault="00733B0F" w:rsidP="00733B0F">
      <w:pPr>
        <w:autoSpaceDE w:val="0"/>
        <w:autoSpaceDN w:val="0"/>
        <w:adjustRightInd w:val="0"/>
        <w:spacing w:after="0" w:line="240" w:lineRule="auto"/>
        <w:rPr>
          <w:rFonts w:cstheme="minorHAnsi"/>
          <w:sz w:val="21"/>
          <w:szCs w:val="21"/>
        </w:rPr>
      </w:pPr>
    </w:p>
    <w:p w14:paraId="18E20787" w14:textId="3087D9E0" w:rsidR="00A750B2" w:rsidRPr="0077324C" w:rsidRDefault="00A750B2" w:rsidP="00A750B2">
      <w:pPr>
        <w:autoSpaceDE w:val="0"/>
        <w:autoSpaceDN w:val="0"/>
        <w:adjustRightInd w:val="0"/>
        <w:spacing w:after="0" w:line="240" w:lineRule="auto"/>
        <w:rPr>
          <w:rFonts w:cstheme="minorHAnsi"/>
          <w:sz w:val="21"/>
          <w:szCs w:val="21"/>
        </w:rPr>
      </w:pPr>
      <w:r w:rsidRPr="0077324C">
        <w:rPr>
          <w:rFonts w:cstheme="minorHAnsi"/>
          <w:sz w:val="21"/>
          <w:szCs w:val="21"/>
        </w:rPr>
        <w:t>Auch die Gesellschaft Deutscher Chemiker e.V. hat - zusammen mit Wissenschaftlern aus den USA und Kanada -</w:t>
      </w:r>
      <w:r w:rsidR="005E1012">
        <w:rPr>
          <w:rFonts w:cstheme="minorHAnsi"/>
          <w:sz w:val="21"/>
          <w:szCs w:val="21"/>
        </w:rPr>
        <w:t xml:space="preserve"> </w:t>
      </w:r>
      <w:r w:rsidRPr="0077324C">
        <w:rPr>
          <w:rFonts w:cstheme="minorHAnsi"/>
          <w:sz w:val="21"/>
          <w:szCs w:val="21"/>
        </w:rPr>
        <w:t>in einer international publizierten Stellungnahme zum Fracking-Regelungspaket den unseriösen Versuch der Umdefinierung von Tight-Gas-Lagerstätten mit deutlichen Worten angesprochen und darauf hingewiesen, dass sich die Fördermethoden für Kohlenwasserstoffe aus Schiefer- oder Sandgesteinen – und somit das Gefährdungspotenzial - nicht unterscheiden.</w:t>
      </w:r>
      <w:r w:rsidRPr="0077324C">
        <w:rPr>
          <w:rStyle w:val="Endnotenzeichen"/>
          <w:rFonts w:cstheme="minorHAnsi"/>
          <w:sz w:val="21"/>
          <w:szCs w:val="21"/>
        </w:rPr>
        <w:endnoteReference w:id="6"/>
      </w:r>
    </w:p>
    <w:p w14:paraId="7C617D98" w14:textId="431C2EEC" w:rsidR="00C5313C" w:rsidRPr="0077324C" w:rsidRDefault="00C5313C" w:rsidP="00A750B2">
      <w:pPr>
        <w:autoSpaceDE w:val="0"/>
        <w:autoSpaceDN w:val="0"/>
        <w:adjustRightInd w:val="0"/>
        <w:spacing w:after="0" w:line="240" w:lineRule="auto"/>
        <w:rPr>
          <w:rFonts w:cstheme="minorHAnsi"/>
          <w:sz w:val="21"/>
          <w:szCs w:val="21"/>
        </w:rPr>
      </w:pPr>
    </w:p>
    <w:p w14:paraId="14024527" w14:textId="7E4FD92E" w:rsidR="00117BC6" w:rsidRPr="0077324C" w:rsidRDefault="005E1012" w:rsidP="00A750B2">
      <w:pPr>
        <w:autoSpaceDE w:val="0"/>
        <w:autoSpaceDN w:val="0"/>
        <w:adjustRightInd w:val="0"/>
        <w:spacing w:after="0" w:line="240" w:lineRule="auto"/>
        <w:rPr>
          <w:rFonts w:cstheme="minorHAnsi"/>
          <w:sz w:val="21"/>
          <w:szCs w:val="21"/>
        </w:rPr>
      </w:pPr>
      <w:r>
        <w:rPr>
          <w:rFonts w:cstheme="minorHAnsi"/>
          <w:sz w:val="21"/>
          <w:szCs w:val="21"/>
        </w:rPr>
        <w:t>Darüber hinaus</w:t>
      </w:r>
      <w:r w:rsidR="00117BC6" w:rsidRPr="0077324C">
        <w:rPr>
          <w:rFonts w:cstheme="minorHAnsi"/>
          <w:sz w:val="21"/>
          <w:szCs w:val="21"/>
        </w:rPr>
        <w:t xml:space="preserve"> müssen die bestehenden Lücken im aktuellen Rechtsrahmen geschlossen werden. Mit der aktuellen Regelung in §§ 23 und 24 BNatSchG könnte unmittelbar angrenzend zu und unterhalb von Naturschutzgebieten gefrackt und auch Lagerstättenwasser/Flowback verpresst werden. Bei der beabsichtigten Förderung von Tight-Gas/Öl und Schieferöl könnte sogar innerhalb von Natura-2000-Gebi</w:t>
      </w:r>
      <w:r w:rsidR="00316807">
        <w:rPr>
          <w:rFonts w:cstheme="minorHAnsi"/>
          <w:sz w:val="21"/>
          <w:szCs w:val="21"/>
        </w:rPr>
        <w:t>e</w:t>
      </w:r>
      <w:r w:rsidR="00117BC6" w:rsidRPr="0077324C">
        <w:rPr>
          <w:rFonts w:cstheme="minorHAnsi"/>
          <w:sz w:val="21"/>
          <w:szCs w:val="21"/>
        </w:rPr>
        <w:t xml:space="preserve">ten gefrackt und Flowback verpresst werden (siehe § 33 Abs. 1 a BNatSchG). Entsprechende Pufferzonen zu den sensiblen Gebieten sind nicht definiert. Weitere sensible Gebiete werden nicht aufgeführt. Auf die Notwendigkeit der </w:t>
      </w:r>
      <w:r w:rsidR="004A6B6B" w:rsidRPr="0077324C">
        <w:rPr>
          <w:rFonts w:cstheme="minorHAnsi"/>
          <w:sz w:val="21"/>
          <w:szCs w:val="21"/>
        </w:rPr>
        <w:t>Benennung</w:t>
      </w:r>
      <w:r w:rsidR="00117BC6" w:rsidRPr="0077324C">
        <w:rPr>
          <w:rFonts w:cstheme="minorHAnsi"/>
          <w:sz w:val="21"/>
          <w:szCs w:val="21"/>
        </w:rPr>
        <w:t xml:space="preserve"> weiterer Ausschlussgebiete hat das Umweltbundesamt </w:t>
      </w:r>
      <w:r>
        <w:rPr>
          <w:rFonts w:cstheme="minorHAnsi"/>
          <w:sz w:val="21"/>
          <w:szCs w:val="21"/>
        </w:rPr>
        <w:t xml:space="preserve">bereits </w:t>
      </w:r>
      <w:r w:rsidR="00117BC6" w:rsidRPr="0077324C">
        <w:rPr>
          <w:rFonts w:cstheme="minorHAnsi"/>
          <w:sz w:val="21"/>
          <w:szCs w:val="21"/>
        </w:rPr>
        <w:t>in seinem Gutachten von Juli 2014 hingewiesen.</w:t>
      </w:r>
    </w:p>
    <w:p w14:paraId="6DEA6FA8" w14:textId="55CA8388" w:rsidR="00117BC6" w:rsidRPr="0077324C" w:rsidRDefault="00117BC6" w:rsidP="00A750B2">
      <w:pPr>
        <w:autoSpaceDE w:val="0"/>
        <w:autoSpaceDN w:val="0"/>
        <w:adjustRightInd w:val="0"/>
        <w:spacing w:after="0" w:line="240" w:lineRule="auto"/>
        <w:rPr>
          <w:rFonts w:cstheme="minorHAnsi"/>
          <w:sz w:val="21"/>
          <w:szCs w:val="21"/>
        </w:rPr>
      </w:pPr>
    </w:p>
    <w:p w14:paraId="5524C9DA" w14:textId="0FBEB332" w:rsidR="00117BC6" w:rsidRPr="0077324C" w:rsidRDefault="00117BC6" w:rsidP="00A750B2">
      <w:pPr>
        <w:autoSpaceDE w:val="0"/>
        <w:autoSpaceDN w:val="0"/>
        <w:adjustRightInd w:val="0"/>
        <w:spacing w:after="0" w:line="240" w:lineRule="auto"/>
        <w:rPr>
          <w:rFonts w:cstheme="minorHAnsi"/>
          <w:sz w:val="21"/>
          <w:szCs w:val="21"/>
        </w:rPr>
      </w:pPr>
      <w:r w:rsidRPr="0077324C">
        <w:rPr>
          <w:rFonts w:cstheme="minorHAnsi"/>
          <w:sz w:val="21"/>
          <w:szCs w:val="21"/>
        </w:rPr>
        <w:t xml:space="preserve">Darüber hinaus sind weitere Reformen im Bundesberggesetz unumgänglich, </w:t>
      </w:r>
      <w:r w:rsidR="005E1012">
        <w:rPr>
          <w:rFonts w:cstheme="minorHAnsi"/>
          <w:sz w:val="21"/>
          <w:szCs w:val="21"/>
        </w:rPr>
        <w:t>um</w:t>
      </w:r>
      <w:r w:rsidRPr="0077324C">
        <w:rPr>
          <w:rFonts w:cstheme="minorHAnsi"/>
          <w:sz w:val="21"/>
          <w:szCs w:val="21"/>
        </w:rPr>
        <w:t xml:space="preserve"> der gelebten Vorrangstellung der Rohstoffförderung gegenüber den Schutzgütern Klima, Luft, Wasser und Natur, Einhalt zu gebieten. Auf die ausführliche </w:t>
      </w:r>
      <w:r w:rsidR="00C6307B" w:rsidRPr="0077324C">
        <w:rPr>
          <w:rFonts w:cstheme="minorHAnsi"/>
          <w:sz w:val="21"/>
          <w:szCs w:val="21"/>
        </w:rPr>
        <w:t>2015er Stellungnahme des Anti-Fracking-Bündnisses Nordhessen wird in dem Kontext hingewiesen.</w:t>
      </w:r>
      <w:r w:rsidR="00C6307B" w:rsidRPr="0077324C">
        <w:rPr>
          <w:rStyle w:val="Endnotenzeichen"/>
          <w:rFonts w:cstheme="minorHAnsi"/>
          <w:sz w:val="21"/>
          <w:szCs w:val="21"/>
        </w:rPr>
        <w:endnoteReference w:id="7"/>
      </w:r>
    </w:p>
    <w:p w14:paraId="45982CEF" w14:textId="7A009653" w:rsidR="00A750B2" w:rsidRPr="0077324C" w:rsidRDefault="00A750B2" w:rsidP="00A750B2">
      <w:pPr>
        <w:autoSpaceDE w:val="0"/>
        <w:autoSpaceDN w:val="0"/>
        <w:adjustRightInd w:val="0"/>
        <w:spacing w:after="0" w:line="240" w:lineRule="auto"/>
        <w:rPr>
          <w:rFonts w:cstheme="minorHAnsi"/>
          <w:sz w:val="21"/>
          <w:szCs w:val="21"/>
        </w:rPr>
      </w:pPr>
    </w:p>
    <w:p w14:paraId="2DCC31FD" w14:textId="10023B30" w:rsidR="00C6307B" w:rsidRPr="0077324C" w:rsidRDefault="00A750B2" w:rsidP="00C6307B">
      <w:pPr>
        <w:tabs>
          <w:tab w:val="left" w:pos="2376"/>
        </w:tabs>
        <w:autoSpaceDE w:val="0"/>
        <w:autoSpaceDN w:val="0"/>
        <w:adjustRightInd w:val="0"/>
        <w:spacing w:after="0" w:line="240" w:lineRule="auto"/>
        <w:rPr>
          <w:rFonts w:cstheme="minorHAnsi"/>
          <w:b/>
          <w:bCs/>
          <w:sz w:val="21"/>
          <w:szCs w:val="21"/>
        </w:rPr>
      </w:pPr>
      <w:r w:rsidRPr="0077324C">
        <w:rPr>
          <w:rFonts w:cstheme="minorHAnsi"/>
          <w:sz w:val="21"/>
          <w:szCs w:val="21"/>
        </w:rPr>
        <w:t>Fazit:</w:t>
      </w:r>
      <w:r w:rsidRPr="0077324C">
        <w:rPr>
          <w:rFonts w:cstheme="minorHAnsi"/>
          <w:b/>
          <w:bCs/>
          <w:sz w:val="21"/>
          <w:szCs w:val="21"/>
        </w:rPr>
        <w:t xml:space="preserve"> Der Kunstbegriff konventionelles Fracking muss gestrichen und ein komplettes Fracking-Verbot für </w:t>
      </w:r>
      <w:r w:rsidR="008F5F0B" w:rsidRPr="0077324C">
        <w:rPr>
          <w:rFonts w:cstheme="minorHAnsi"/>
          <w:b/>
          <w:bCs/>
          <w:sz w:val="21"/>
          <w:szCs w:val="21"/>
        </w:rPr>
        <w:t xml:space="preserve">alle Lagerstätten (inklusive Sandstein, Rotliegend, Zechstein) </w:t>
      </w:r>
      <w:r w:rsidRPr="0077324C">
        <w:rPr>
          <w:rFonts w:cstheme="minorHAnsi"/>
          <w:b/>
          <w:bCs/>
          <w:sz w:val="21"/>
          <w:szCs w:val="21"/>
        </w:rPr>
        <w:t>eingeführt werden</w:t>
      </w:r>
      <w:r w:rsidR="008F5F0B" w:rsidRPr="0077324C">
        <w:rPr>
          <w:rFonts w:cstheme="minorHAnsi"/>
          <w:b/>
          <w:bCs/>
          <w:sz w:val="21"/>
          <w:szCs w:val="21"/>
        </w:rPr>
        <w:t>.</w:t>
      </w:r>
      <w:r w:rsidR="00117BC6" w:rsidRPr="0077324C">
        <w:rPr>
          <w:rFonts w:cstheme="minorHAnsi"/>
          <w:b/>
          <w:bCs/>
          <w:sz w:val="21"/>
          <w:szCs w:val="21"/>
        </w:rPr>
        <w:t xml:space="preserve"> Die </w:t>
      </w:r>
      <w:r w:rsidR="00C6307B" w:rsidRPr="0077324C">
        <w:rPr>
          <w:rFonts w:cstheme="minorHAnsi"/>
          <w:b/>
          <w:bCs/>
          <w:sz w:val="21"/>
          <w:szCs w:val="21"/>
        </w:rPr>
        <w:t xml:space="preserve">vorhanden </w:t>
      </w:r>
      <w:r w:rsidR="00117BC6" w:rsidRPr="0077324C">
        <w:rPr>
          <w:rFonts w:cstheme="minorHAnsi"/>
          <w:b/>
          <w:bCs/>
          <w:sz w:val="21"/>
          <w:szCs w:val="21"/>
        </w:rPr>
        <w:t xml:space="preserve">Rechtslücken müssen geschlossen </w:t>
      </w:r>
      <w:r w:rsidR="00C6307B" w:rsidRPr="0077324C">
        <w:rPr>
          <w:rFonts w:cstheme="minorHAnsi"/>
          <w:b/>
          <w:bCs/>
          <w:sz w:val="21"/>
          <w:szCs w:val="21"/>
        </w:rPr>
        <w:t xml:space="preserve">und </w:t>
      </w:r>
      <w:r w:rsidR="005E1012">
        <w:rPr>
          <w:rFonts w:cstheme="minorHAnsi"/>
          <w:b/>
          <w:bCs/>
          <w:sz w:val="21"/>
          <w:szCs w:val="21"/>
        </w:rPr>
        <w:t xml:space="preserve">die </w:t>
      </w:r>
      <w:r w:rsidR="004A6B6B">
        <w:rPr>
          <w:rFonts w:cstheme="minorHAnsi"/>
          <w:b/>
          <w:bCs/>
          <w:sz w:val="21"/>
          <w:szCs w:val="21"/>
        </w:rPr>
        <w:t>Vorrangstellung</w:t>
      </w:r>
      <w:r w:rsidR="005E1012">
        <w:rPr>
          <w:rFonts w:cstheme="minorHAnsi"/>
          <w:b/>
          <w:bCs/>
          <w:sz w:val="21"/>
          <w:szCs w:val="21"/>
        </w:rPr>
        <w:t xml:space="preserve"> der Rohstoffförderung gegenüber den Schutzgütern Klima, Luft, Wasser und Natur muss beendet werden</w:t>
      </w:r>
      <w:r w:rsidR="00C6307B" w:rsidRPr="0077324C">
        <w:rPr>
          <w:rFonts w:cstheme="minorHAnsi"/>
          <w:b/>
          <w:bCs/>
          <w:sz w:val="21"/>
          <w:szCs w:val="21"/>
        </w:rPr>
        <w:t xml:space="preserve">. </w:t>
      </w:r>
    </w:p>
    <w:p w14:paraId="5470D6A5" w14:textId="05D02EB5" w:rsidR="00C6307B" w:rsidRDefault="00C6307B" w:rsidP="00C6307B">
      <w:pPr>
        <w:tabs>
          <w:tab w:val="left" w:pos="2376"/>
        </w:tabs>
        <w:autoSpaceDE w:val="0"/>
        <w:autoSpaceDN w:val="0"/>
        <w:adjustRightInd w:val="0"/>
        <w:spacing w:after="0" w:line="240" w:lineRule="auto"/>
        <w:rPr>
          <w:rFonts w:cstheme="minorHAnsi"/>
          <w:b/>
          <w:bCs/>
          <w:sz w:val="21"/>
          <w:szCs w:val="21"/>
        </w:rPr>
      </w:pPr>
      <w:r w:rsidRPr="0077324C">
        <w:rPr>
          <w:rFonts w:cstheme="minorHAnsi"/>
          <w:b/>
          <w:bCs/>
          <w:sz w:val="21"/>
          <w:szCs w:val="21"/>
        </w:rPr>
        <w:t>Dabei sollte folgende Vorgabe gelten: "</w:t>
      </w:r>
      <w:r w:rsidRPr="0077324C">
        <w:rPr>
          <w:rFonts w:cstheme="minorHAnsi"/>
          <w:b/>
          <w:bCs/>
          <w:i/>
          <w:iCs/>
          <w:sz w:val="21"/>
          <w:szCs w:val="21"/>
        </w:rPr>
        <w:t xml:space="preserve">Der Schutz lebenswichtiger </w:t>
      </w:r>
      <w:r w:rsidR="00316807">
        <w:rPr>
          <w:rFonts w:cstheme="minorHAnsi"/>
          <w:b/>
          <w:bCs/>
          <w:i/>
          <w:iCs/>
          <w:sz w:val="21"/>
          <w:szCs w:val="21"/>
        </w:rPr>
        <w:t xml:space="preserve">Ressourcen wie Luft, Wasser, </w:t>
      </w:r>
      <w:r w:rsidRPr="0077324C">
        <w:rPr>
          <w:rFonts w:cstheme="minorHAnsi"/>
          <w:b/>
          <w:bCs/>
          <w:i/>
          <w:iCs/>
          <w:sz w:val="21"/>
          <w:szCs w:val="21"/>
        </w:rPr>
        <w:t>Boden und Klima sowie die Vermeidung von unverhältnismäßigen Risiken für die Nutzungen und Funktionen des Raumes genießen strikten Vorrang vor Vorhaben der Energiegewinnung, die diese Ressourcen gefährden oder deren Risiken für diese Ressourcen nicht sicher abschätzbar sind</w:t>
      </w:r>
      <w:r w:rsidRPr="0077324C">
        <w:rPr>
          <w:rFonts w:cstheme="minorHAnsi"/>
          <w:b/>
          <w:bCs/>
          <w:sz w:val="21"/>
          <w:szCs w:val="21"/>
        </w:rPr>
        <w:t>."</w:t>
      </w:r>
    </w:p>
    <w:p w14:paraId="7CFC1EBE" w14:textId="790D30CF" w:rsidR="00A750B2" w:rsidRDefault="00A750B2" w:rsidP="00733B0F">
      <w:pPr>
        <w:autoSpaceDE w:val="0"/>
        <w:autoSpaceDN w:val="0"/>
        <w:adjustRightInd w:val="0"/>
        <w:spacing w:after="0" w:line="240" w:lineRule="auto"/>
        <w:rPr>
          <w:rFonts w:cstheme="minorHAnsi"/>
          <w:sz w:val="21"/>
          <w:szCs w:val="21"/>
        </w:rPr>
      </w:pPr>
    </w:p>
    <w:p w14:paraId="0A165D94" w14:textId="77777777" w:rsidR="00E33803" w:rsidRPr="0077324C" w:rsidRDefault="00E33803" w:rsidP="00733B0F">
      <w:pPr>
        <w:autoSpaceDE w:val="0"/>
        <w:autoSpaceDN w:val="0"/>
        <w:adjustRightInd w:val="0"/>
        <w:spacing w:after="0" w:line="240" w:lineRule="auto"/>
        <w:rPr>
          <w:rFonts w:cstheme="minorHAnsi"/>
          <w:sz w:val="21"/>
          <w:szCs w:val="21"/>
        </w:rPr>
      </w:pPr>
    </w:p>
    <w:p w14:paraId="3133107B" w14:textId="7CDDB51A" w:rsidR="00733B0F" w:rsidRPr="0077324C" w:rsidRDefault="00733B0F" w:rsidP="00AA20ED">
      <w:pPr>
        <w:pStyle w:val="Listenabsatz"/>
        <w:numPr>
          <w:ilvl w:val="0"/>
          <w:numId w:val="11"/>
        </w:numPr>
        <w:autoSpaceDE w:val="0"/>
        <w:autoSpaceDN w:val="0"/>
        <w:adjustRightInd w:val="0"/>
        <w:spacing w:after="0" w:line="240" w:lineRule="auto"/>
        <w:rPr>
          <w:rFonts w:cstheme="minorHAnsi"/>
          <w:b/>
          <w:bCs/>
          <w:sz w:val="21"/>
          <w:szCs w:val="21"/>
        </w:rPr>
      </w:pPr>
      <w:r w:rsidRPr="0077324C">
        <w:rPr>
          <w:rFonts w:cstheme="minorHAnsi"/>
          <w:b/>
          <w:bCs/>
          <w:sz w:val="21"/>
          <w:szCs w:val="21"/>
        </w:rPr>
        <w:t xml:space="preserve">Signifikante Klimawirkung von Erdgas muss </w:t>
      </w:r>
      <w:r w:rsidR="005E1012">
        <w:rPr>
          <w:rFonts w:cstheme="minorHAnsi"/>
          <w:b/>
          <w:bCs/>
          <w:sz w:val="21"/>
          <w:szCs w:val="21"/>
        </w:rPr>
        <w:t xml:space="preserve">beachtet, </w:t>
      </w:r>
      <w:r w:rsidRPr="0077324C">
        <w:rPr>
          <w:rFonts w:cstheme="minorHAnsi"/>
          <w:b/>
          <w:bCs/>
          <w:sz w:val="21"/>
          <w:szCs w:val="21"/>
        </w:rPr>
        <w:t xml:space="preserve">Fracking-Beitrag zur Erderwärmung muss anerkannt </w:t>
      </w:r>
      <w:r w:rsidR="005E1012">
        <w:rPr>
          <w:rFonts w:cstheme="minorHAnsi"/>
          <w:b/>
          <w:bCs/>
          <w:sz w:val="21"/>
          <w:szCs w:val="21"/>
        </w:rPr>
        <w:t>und</w:t>
      </w:r>
      <w:r w:rsidRPr="0077324C">
        <w:rPr>
          <w:rFonts w:cstheme="minorHAnsi"/>
          <w:b/>
          <w:bCs/>
          <w:sz w:val="21"/>
          <w:szCs w:val="21"/>
        </w:rPr>
        <w:t xml:space="preserve"> aktuell</w:t>
      </w:r>
      <w:r w:rsidR="00AA20ED" w:rsidRPr="0077324C">
        <w:rPr>
          <w:rFonts w:cstheme="minorHAnsi"/>
          <w:b/>
          <w:bCs/>
          <w:sz w:val="21"/>
          <w:szCs w:val="21"/>
        </w:rPr>
        <w:t>e</w:t>
      </w:r>
      <w:r w:rsidRPr="0077324C">
        <w:rPr>
          <w:rFonts w:cstheme="minorHAnsi"/>
          <w:b/>
          <w:bCs/>
          <w:sz w:val="21"/>
          <w:szCs w:val="21"/>
        </w:rPr>
        <w:t xml:space="preserve"> Treibhausgaspotenzialwerte von Methan </w:t>
      </w:r>
      <w:r w:rsidR="005E1012">
        <w:rPr>
          <w:rFonts w:cstheme="minorHAnsi"/>
          <w:b/>
          <w:bCs/>
          <w:sz w:val="21"/>
          <w:szCs w:val="21"/>
        </w:rPr>
        <w:t xml:space="preserve">müssen </w:t>
      </w:r>
      <w:r w:rsidRPr="0077324C">
        <w:rPr>
          <w:rFonts w:cstheme="minorHAnsi"/>
          <w:b/>
          <w:bCs/>
          <w:sz w:val="21"/>
          <w:szCs w:val="21"/>
        </w:rPr>
        <w:t>angewandt werden</w:t>
      </w:r>
    </w:p>
    <w:p w14:paraId="17BCB021" w14:textId="66C3D339" w:rsidR="00733B0F" w:rsidRPr="0077324C" w:rsidRDefault="00733B0F" w:rsidP="00733B0F">
      <w:pPr>
        <w:autoSpaceDE w:val="0"/>
        <w:autoSpaceDN w:val="0"/>
        <w:adjustRightInd w:val="0"/>
        <w:spacing w:after="0" w:line="240" w:lineRule="auto"/>
        <w:rPr>
          <w:rFonts w:cstheme="minorHAnsi"/>
          <w:sz w:val="21"/>
          <w:szCs w:val="21"/>
        </w:rPr>
      </w:pPr>
    </w:p>
    <w:p w14:paraId="61B7B244" w14:textId="71955342" w:rsidR="00B11EBF" w:rsidRPr="0077324C" w:rsidRDefault="00B11EBF" w:rsidP="00B11EBF">
      <w:pPr>
        <w:spacing w:after="0" w:line="240" w:lineRule="auto"/>
        <w:rPr>
          <w:rFonts w:eastAsia="Times New Roman" w:cstheme="minorHAnsi"/>
          <w:sz w:val="21"/>
          <w:szCs w:val="21"/>
          <w:lang w:eastAsia="de-DE"/>
        </w:rPr>
      </w:pPr>
      <w:r w:rsidRPr="0077324C">
        <w:rPr>
          <w:rFonts w:eastAsia="Times New Roman" w:cstheme="minorHAnsi"/>
          <w:sz w:val="21"/>
          <w:szCs w:val="21"/>
          <w:lang w:eastAsia="de-DE"/>
        </w:rPr>
        <w:t xml:space="preserve">Erdgas dient nicht dem Klimaschutz und ist keine Brücke in eine post-fossile Zukunft. Deutschlands Gasabhängigkeit </w:t>
      </w:r>
      <w:r w:rsidR="00D20423">
        <w:rPr>
          <w:rFonts w:eastAsia="Times New Roman" w:cstheme="minorHAnsi"/>
          <w:sz w:val="21"/>
          <w:szCs w:val="21"/>
          <w:lang w:eastAsia="de-DE"/>
        </w:rPr>
        <w:t xml:space="preserve">verhindert </w:t>
      </w:r>
      <w:r w:rsidRPr="0077324C">
        <w:rPr>
          <w:rFonts w:eastAsia="Times New Roman" w:cstheme="minorHAnsi"/>
          <w:sz w:val="21"/>
          <w:szCs w:val="21"/>
          <w:lang w:eastAsia="de-DE"/>
        </w:rPr>
        <w:t xml:space="preserve">die Erreichung der Pariser Klimaschutzziele auf nationaler und EU-Ebene und somit die Eindämmung der Klimaerwärmung. </w:t>
      </w:r>
      <w:r w:rsidRPr="0077324C">
        <w:rPr>
          <w:rFonts w:eastAsia="Times New Roman" w:cstheme="minorHAnsi"/>
          <w:sz w:val="21"/>
          <w:szCs w:val="21"/>
          <w:lang w:eastAsia="de-DE"/>
        </w:rPr>
        <w:br/>
      </w:r>
    </w:p>
    <w:p w14:paraId="16E519E1" w14:textId="77777777" w:rsidR="00316807" w:rsidRDefault="00B11EBF" w:rsidP="00AF75FD">
      <w:pPr>
        <w:spacing w:after="0" w:line="240" w:lineRule="auto"/>
        <w:rPr>
          <w:rFonts w:cstheme="minorHAnsi"/>
          <w:sz w:val="21"/>
          <w:szCs w:val="21"/>
        </w:rPr>
      </w:pPr>
      <w:r w:rsidRPr="0077324C">
        <w:rPr>
          <w:rFonts w:eastAsia="Times New Roman" w:cstheme="minorHAnsi"/>
          <w:sz w:val="21"/>
          <w:szCs w:val="21"/>
          <w:lang w:eastAsia="de-DE"/>
        </w:rPr>
        <w:t>Wenn neben den beim Verbrennen entstehenden CO2-Emissionen auch die bei Förderung</w:t>
      </w:r>
      <w:r w:rsidR="007D6111">
        <w:rPr>
          <w:rFonts w:eastAsia="Times New Roman" w:cstheme="minorHAnsi"/>
          <w:sz w:val="21"/>
          <w:szCs w:val="21"/>
          <w:lang w:eastAsia="de-DE"/>
        </w:rPr>
        <w:t xml:space="preserve">, </w:t>
      </w:r>
      <w:r w:rsidRPr="0077324C">
        <w:rPr>
          <w:rFonts w:eastAsia="Times New Roman" w:cstheme="minorHAnsi"/>
          <w:sz w:val="21"/>
          <w:szCs w:val="21"/>
          <w:lang w:eastAsia="de-DE"/>
        </w:rPr>
        <w:t>Transport</w:t>
      </w:r>
      <w:r w:rsidR="007D6111">
        <w:rPr>
          <w:rFonts w:eastAsia="Times New Roman" w:cstheme="minorHAnsi"/>
          <w:sz w:val="21"/>
          <w:szCs w:val="21"/>
          <w:lang w:eastAsia="de-DE"/>
        </w:rPr>
        <w:t xml:space="preserve"> und Lagerung </w:t>
      </w:r>
      <w:r w:rsidRPr="0077324C">
        <w:rPr>
          <w:rFonts w:eastAsia="Times New Roman" w:cstheme="minorHAnsi"/>
          <w:sz w:val="21"/>
          <w:szCs w:val="21"/>
          <w:lang w:eastAsia="de-DE"/>
        </w:rPr>
        <w:t xml:space="preserve">anfallenden Methanleckagen berücksichtigt werden, fällt die Klimabilanz von Erdgas </w:t>
      </w:r>
      <w:r w:rsidR="00E56917" w:rsidRPr="0077324C">
        <w:rPr>
          <w:rFonts w:eastAsia="Times New Roman" w:cstheme="minorHAnsi"/>
          <w:sz w:val="21"/>
          <w:szCs w:val="21"/>
          <w:lang w:eastAsia="de-DE"/>
        </w:rPr>
        <w:t>–</w:t>
      </w:r>
      <w:r w:rsidRPr="0077324C">
        <w:rPr>
          <w:rFonts w:eastAsia="Times New Roman" w:cstheme="minorHAnsi"/>
          <w:sz w:val="21"/>
          <w:szCs w:val="21"/>
          <w:lang w:eastAsia="de-DE"/>
        </w:rPr>
        <w:t xml:space="preserve"> </w:t>
      </w:r>
      <w:r w:rsidR="00E56917" w:rsidRPr="0077324C">
        <w:rPr>
          <w:rFonts w:eastAsia="Times New Roman" w:cstheme="minorHAnsi"/>
          <w:sz w:val="21"/>
          <w:szCs w:val="21"/>
          <w:lang w:eastAsia="de-DE"/>
        </w:rPr>
        <w:t>insbesondere von gefracktem Erdgas – so schlecht wie die von Kohle aus.</w:t>
      </w:r>
      <w:r w:rsidR="00E56917" w:rsidRPr="0077324C">
        <w:rPr>
          <w:rStyle w:val="Endnotenzeichen"/>
          <w:rFonts w:eastAsia="Times New Roman" w:cstheme="minorHAnsi"/>
          <w:sz w:val="21"/>
          <w:szCs w:val="21"/>
          <w:lang w:eastAsia="de-DE"/>
        </w:rPr>
        <w:endnoteReference w:id="8"/>
      </w:r>
      <w:r w:rsidR="00AF75FD" w:rsidRPr="0077324C">
        <w:rPr>
          <w:rFonts w:eastAsia="Times New Roman" w:cstheme="minorHAnsi"/>
          <w:sz w:val="21"/>
          <w:szCs w:val="21"/>
          <w:lang w:eastAsia="de-DE"/>
        </w:rPr>
        <w:t xml:space="preserve"> </w:t>
      </w:r>
      <w:r w:rsidR="00AF75FD" w:rsidRPr="0077324C">
        <w:rPr>
          <w:rFonts w:cstheme="minorHAnsi"/>
          <w:sz w:val="21"/>
          <w:szCs w:val="21"/>
        </w:rPr>
        <w:t>Was schon einige Studien vorher aufgedeckt hatten, hat eine Studie der NASA in 2018 noch einmal bestätigt. Die Studie betont nicht nur, dass der drastische Anstieg von globalen Methanemissionen im letzten Jahrzehnt zum Großteil auf die Industrie fossiler Brennstoffe zurückzuführen ist, sondern auch dass der Anstieg wesentlich größer ist als bisher gedacht.</w:t>
      </w:r>
      <w:r w:rsidR="00AF75FD" w:rsidRPr="0077324C">
        <w:rPr>
          <w:rStyle w:val="Endnotenzeichen"/>
          <w:rFonts w:cstheme="minorHAnsi"/>
          <w:sz w:val="21"/>
          <w:szCs w:val="21"/>
        </w:rPr>
        <w:endnoteReference w:id="9"/>
      </w:r>
      <w:r w:rsidR="00C65C76" w:rsidRPr="0077324C">
        <w:rPr>
          <w:rFonts w:cstheme="minorHAnsi"/>
          <w:sz w:val="21"/>
          <w:szCs w:val="21"/>
        </w:rPr>
        <w:t xml:space="preserve"> Gemäß einer aktuellen Studie von Prof. Howarth, Cornell Universität, Ithaca, NY, USA </w:t>
      </w:r>
    </w:p>
    <w:p w14:paraId="21A7ED29" w14:textId="77777777" w:rsidR="00316807" w:rsidRDefault="00316807" w:rsidP="00AF75FD">
      <w:pPr>
        <w:spacing w:after="0" w:line="240" w:lineRule="auto"/>
        <w:rPr>
          <w:rFonts w:cstheme="minorHAnsi"/>
          <w:sz w:val="21"/>
          <w:szCs w:val="21"/>
        </w:rPr>
      </w:pPr>
    </w:p>
    <w:p w14:paraId="09215F3B" w14:textId="77777777" w:rsidR="00316807" w:rsidRDefault="00316807" w:rsidP="00AF75FD">
      <w:pPr>
        <w:spacing w:after="0" w:line="240" w:lineRule="auto"/>
        <w:rPr>
          <w:rFonts w:cstheme="minorHAnsi"/>
          <w:sz w:val="21"/>
          <w:szCs w:val="21"/>
        </w:rPr>
      </w:pPr>
    </w:p>
    <w:p w14:paraId="31B306F0" w14:textId="77777777" w:rsidR="00316807" w:rsidRDefault="00316807" w:rsidP="00AF75FD">
      <w:pPr>
        <w:spacing w:after="0" w:line="240" w:lineRule="auto"/>
        <w:rPr>
          <w:rFonts w:cstheme="minorHAnsi"/>
          <w:sz w:val="21"/>
          <w:szCs w:val="21"/>
        </w:rPr>
      </w:pPr>
    </w:p>
    <w:p w14:paraId="742C4995" w14:textId="4402924A" w:rsidR="00AF75FD" w:rsidRPr="0077324C" w:rsidRDefault="00C65C76" w:rsidP="00AF75FD">
      <w:pPr>
        <w:spacing w:after="0" w:line="240" w:lineRule="auto"/>
        <w:rPr>
          <w:rFonts w:cstheme="minorHAnsi"/>
          <w:sz w:val="21"/>
          <w:szCs w:val="21"/>
        </w:rPr>
      </w:pPr>
      <w:r w:rsidRPr="0077324C">
        <w:rPr>
          <w:rFonts w:cstheme="minorHAnsi"/>
          <w:sz w:val="21"/>
          <w:szCs w:val="21"/>
        </w:rPr>
        <w:t>ist die Schiefergas- und ölförderung für rd. 33% des gesamten weltweiten Anstiegs an Methanemissionen verantwortlich</w:t>
      </w:r>
      <w:r w:rsidRPr="0077324C">
        <w:rPr>
          <w:rStyle w:val="Endnotenzeichen"/>
          <w:rFonts w:cstheme="minorHAnsi"/>
          <w:sz w:val="21"/>
          <w:szCs w:val="21"/>
        </w:rPr>
        <w:endnoteReference w:id="10"/>
      </w:r>
      <w:r w:rsidRPr="0077324C">
        <w:rPr>
          <w:rFonts w:cstheme="minorHAnsi"/>
          <w:sz w:val="21"/>
          <w:szCs w:val="21"/>
        </w:rPr>
        <w:t xml:space="preserve"> und trägt damit wesentlich zur Erderwärmung bei.</w:t>
      </w:r>
    </w:p>
    <w:p w14:paraId="137092C3" w14:textId="620FD67B" w:rsidR="00E56917" w:rsidRPr="0077324C" w:rsidRDefault="00E56917" w:rsidP="00B11EBF">
      <w:pPr>
        <w:spacing w:after="0" w:line="240" w:lineRule="auto"/>
        <w:rPr>
          <w:rFonts w:eastAsia="Times New Roman" w:cstheme="minorHAnsi"/>
          <w:sz w:val="21"/>
          <w:szCs w:val="21"/>
          <w:lang w:eastAsia="de-DE"/>
        </w:rPr>
      </w:pPr>
    </w:p>
    <w:p w14:paraId="5F3ED5E2" w14:textId="189AE8F9" w:rsidR="00B11EBF" w:rsidRPr="0077324C" w:rsidRDefault="00B11EBF" w:rsidP="00B11EBF">
      <w:pPr>
        <w:spacing w:after="0" w:line="240" w:lineRule="auto"/>
        <w:rPr>
          <w:rFonts w:eastAsia="Times New Roman" w:cstheme="minorHAnsi"/>
          <w:sz w:val="21"/>
          <w:szCs w:val="21"/>
          <w:lang w:eastAsia="de-DE"/>
        </w:rPr>
      </w:pPr>
      <w:r w:rsidRPr="0077324C">
        <w:rPr>
          <w:rFonts w:eastAsia="Times New Roman" w:cstheme="minorHAnsi"/>
          <w:sz w:val="21"/>
          <w:szCs w:val="21"/>
          <w:lang w:eastAsia="de-DE"/>
        </w:rPr>
        <w:t>Tatsächliche Messungen oder unabhängige Studien zu Methanemissionen aus der Produktion und dem Transport fossiler Energieträger entlang der kompletten Lebenszykluskette existieren für die Absatzmärkte Deutschlands und der Europäischen Union bisher nicht.</w:t>
      </w:r>
    </w:p>
    <w:p w14:paraId="09E8493D" w14:textId="2F4E6627" w:rsidR="00E56917" w:rsidRPr="0077324C" w:rsidRDefault="00E56917" w:rsidP="00B11EBF">
      <w:pPr>
        <w:spacing w:after="0" w:line="240" w:lineRule="auto"/>
        <w:rPr>
          <w:rFonts w:eastAsia="Times New Roman" w:cstheme="minorHAnsi"/>
          <w:sz w:val="21"/>
          <w:szCs w:val="21"/>
          <w:lang w:eastAsia="de-DE"/>
        </w:rPr>
      </w:pPr>
    </w:p>
    <w:p w14:paraId="58B8FB19" w14:textId="2B1902E3" w:rsidR="00E56917" w:rsidRPr="0077324C" w:rsidRDefault="00E56917" w:rsidP="00E56917">
      <w:pPr>
        <w:spacing w:after="0" w:line="240" w:lineRule="auto"/>
        <w:rPr>
          <w:rFonts w:cstheme="minorHAnsi"/>
          <w:sz w:val="21"/>
          <w:szCs w:val="21"/>
        </w:rPr>
      </w:pPr>
      <w:r w:rsidRPr="0077324C">
        <w:rPr>
          <w:rFonts w:cstheme="minorHAnsi"/>
          <w:sz w:val="21"/>
          <w:szCs w:val="21"/>
        </w:rPr>
        <w:t>Auf die Notwendigkeit, Methanemissionen aus der Produktion, Lagerung, Transport und Verbrauch in Deutschland endlich messen zu müssen, hatte das Institute for Advanced Sustainability Studies (IASS) Potsdam bereits in seiner 2016er Studie „</w:t>
      </w:r>
      <w:r w:rsidRPr="0077324C">
        <w:rPr>
          <w:rFonts w:cstheme="minorHAnsi"/>
          <w:i/>
          <w:sz w:val="21"/>
          <w:szCs w:val="21"/>
        </w:rPr>
        <w:t>Die ungewissen Klimakosten von Erdgas – Bewertung der Unstimmigkeiten in den Daten zu Methanlecks in Europa, Russland und den USA und deren Auswirkungen auf die Nachhaltigkeit</w:t>
      </w:r>
      <w:r w:rsidRPr="0077324C">
        <w:rPr>
          <w:rFonts w:cstheme="minorHAnsi"/>
          <w:sz w:val="21"/>
          <w:szCs w:val="21"/>
        </w:rPr>
        <w:t>“ hingewiesen.</w:t>
      </w:r>
      <w:r w:rsidRPr="0077324C">
        <w:rPr>
          <w:rStyle w:val="Endnotenzeichen"/>
          <w:rFonts w:cstheme="minorHAnsi"/>
          <w:sz w:val="21"/>
          <w:szCs w:val="21"/>
        </w:rPr>
        <w:endnoteReference w:id="11"/>
      </w:r>
      <w:r w:rsidRPr="0077324C">
        <w:rPr>
          <w:rFonts w:cstheme="minorHAnsi"/>
          <w:sz w:val="21"/>
          <w:szCs w:val="21"/>
        </w:rPr>
        <w:t xml:space="preserve"> Die Wissenschaftler des IASS weisen darauf hin, dass </w:t>
      </w:r>
      <w:r w:rsidR="007D6111" w:rsidRPr="0077324C">
        <w:rPr>
          <w:rFonts w:cstheme="minorHAnsi"/>
          <w:sz w:val="21"/>
          <w:szCs w:val="21"/>
        </w:rPr>
        <w:t xml:space="preserve">der Mangel an Daten zu Methanemissionen im Gassystem weltweit dazu führt, dass die Gas-Klimabilanzen (in der EU, Russland, USA, Katar und Norwegen) nicht eindeutig sind. Solange die blinden Flecken der “tatsächlichen Emissionen” nicht identifiziert und beseitigt werden, </w:t>
      </w:r>
      <w:r w:rsidR="007D6111">
        <w:rPr>
          <w:rFonts w:cstheme="minorHAnsi"/>
          <w:sz w:val="21"/>
          <w:szCs w:val="21"/>
        </w:rPr>
        <w:t>könne</w:t>
      </w:r>
      <w:r w:rsidR="007D6111" w:rsidRPr="0077324C">
        <w:rPr>
          <w:rFonts w:cstheme="minorHAnsi"/>
          <w:sz w:val="21"/>
          <w:szCs w:val="21"/>
        </w:rPr>
        <w:t xml:space="preserve"> Gas </w:t>
      </w:r>
      <w:r w:rsidRPr="0077324C">
        <w:rPr>
          <w:rFonts w:cstheme="minorHAnsi"/>
          <w:sz w:val="21"/>
          <w:szCs w:val="21"/>
        </w:rPr>
        <w:t>aus klimapolitischer Sicht weder als Rohstoff für nachhaltige Energiesysteme noch als Übergangsbrennstoff auf dem Weg zu einem auf erneuerbaren Energien basierenden System empfohlen werde</w:t>
      </w:r>
      <w:r w:rsidR="007D6111">
        <w:rPr>
          <w:rFonts w:cstheme="minorHAnsi"/>
          <w:sz w:val="21"/>
          <w:szCs w:val="21"/>
        </w:rPr>
        <w:t>n</w:t>
      </w:r>
      <w:r w:rsidRPr="0077324C">
        <w:rPr>
          <w:rFonts w:cstheme="minorHAnsi"/>
          <w:sz w:val="21"/>
          <w:szCs w:val="21"/>
        </w:rPr>
        <w:t>.</w:t>
      </w:r>
    </w:p>
    <w:p w14:paraId="4B85C393" w14:textId="77777777" w:rsidR="00E56917" w:rsidRPr="0077324C" w:rsidRDefault="00E56917" w:rsidP="00E56917">
      <w:pPr>
        <w:spacing w:after="0" w:line="240" w:lineRule="auto"/>
        <w:rPr>
          <w:rFonts w:cstheme="minorHAnsi"/>
          <w:sz w:val="21"/>
          <w:szCs w:val="21"/>
        </w:rPr>
      </w:pPr>
    </w:p>
    <w:p w14:paraId="65ACC1E8" w14:textId="4C47E158" w:rsidR="00E56917" w:rsidRPr="0077324C" w:rsidRDefault="00E56917" w:rsidP="00E56917">
      <w:pPr>
        <w:spacing w:after="0" w:line="240" w:lineRule="auto"/>
        <w:rPr>
          <w:rFonts w:cstheme="minorHAnsi"/>
          <w:sz w:val="21"/>
          <w:szCs w:val="21"/>
        </w:rPr>
      </w:pPr>
      <w:r w:rsidRPr="0077324C">
        <w:rPr>
          <w:rFonts w:cstheme="minorHAnsi"/>
          <w:sz w:val="21"/>
          <w:szCs w:val="21"/>
        </w:rPr>
        <w:t xml:space="preserve">Gemäß den aktuellen Zahlen des </w:t>
      </w:r>
      <w:r w:rsidR="004A6B6B">
        <w:rPr>
          <w:rFonts w:cstheme="minorHAnsi"/>
          <w:sz w:val="21"/>
          <w:szCs w:val="21"/>
        </w:rPr>
        <w:t>Intergovern</w:t>
      </w:r>
      <w:r w:rsidR="004A6B6B" w:rsidRPr="0077324C">
        <w:rPr>
          <w:rFonts w:cstheme="minorHAnsi"/>
          <w:sz w:val="21"/>
          <w:szCs w:val="21"/>
        </w:rPr>
        <w:t>mental</w:t>
      </w:r>
      <w:r w:rsidRPr="0077324C">
        <w:rPr>
          <w:rFonts w:cstheme="minorHAnsi"/>
          <w:sz w:val="21"/>
          <w:szCs w:val="21"/>
        </w:rPr>
        <w:t xml:space="preserve"> Panel on Climate Change (IPCC) ist der Treibhauseffekt von Erdgas in den ersten 20 Jahren</w:t>
      </w:r>
      <w:r w:rsidR="00D17E47">
        <w:rPr>
          <w:rFonts w:cstheme="minorHAnsi"/>
          <w:sz w:val="21"/>
          <w:szCs w:val="21"/>
        </w:rPr>
        <w:t xml:space="preserve"> bis zu</w:t>
      </w:r>
      <w:r w:rsidRPr="0077324C">
        <w:rPr>
          <w:rFonts w:cstheme="minorHAnsi"/>
          <w:sz w:val="21"/>
          <w:szCs w:val="21"/>
        </w:rPr>
        <w:t xml:space="preserve"> 87mal </w:t>
      </w:r>
      <w:r w:rsidR="00D17E47">
        <w:rPr>
          <w:rFonts w:cstheme="minorHAnsi"/>
          <w:sz w:val="21"/>
          <w:szCs w:val="21"/>
        </w:rPr>
        <w:t xml:space="preserve">stärker </w:t>
      </w:r>
      <w:r w:rsidRPr="0077324C">
        <w:rPr>
          <w:rFonts w:cstheme="minorHAnsi"/>
          <w:sz w:val="21"/>
          <w:szCs w:val="21"/>
        </w:rPr>
        <w:t xml:space="preserve">und in den ersten 100 Jahren </w:t>
      </w:r>
      <w:r w:rsidR="00D17E47">
        <w:rPr>
          <w:rFonts w:cstheme="minorHAnsi"/>
          <w:sz w:val="21"/>
          <w:szCs w:val="21"/>
        </w:rPr>
        <w:t xml:space="preserve">bis zu </w:t>
      </w:r>
      <w:r w:rsidRPr="0077324C">
        <w:rPr>
          <w:rFonts w:cstheme="minorHAnsi"/>
          <w:sz w:val="21"/>
          <w:szCs w:val="21"/>
        </w:rPr>
        <w:t xml:space="preserve">36mal stärker als der von CO2. Das Umweltbundesamt </w:t>
      </w:r>
      <w:r w:rsidR="002A370F" w:rsidRPr="0077324C">
        <w:rPr>
          <w:rFonts w:cstheme="minorHAnsi"/>
          <w:sz w:val="21"/>
          <w:szCs w:val="21"/>
        </w:rPr>
        <w:t xml:space="preserve">(und auch die Expertenkommission in ihrem Entwurf) </w:t>
      </w:r>
      <w:r w:rsidRPr="0077324C">
        <w:rPr>
          <w:rFonts w:cstheme="minorHAnsi"/>
          <w:sz w:val="21"/>
          <w:szCs w:val="21"/>
        </w:rPr>
        <w:t>nutzt jedoch weiterhin den veralteten Faktor 25 um die CO2-Äquivalente von Methanemissionen – die zudem noch lediglich als Schätzwerte von der Industrie geliefert werden - zu berechnen.</w:t>
      </w:r>
      <w:r w:rsidRPr="0077324C">
        <w:rPr>
          <w:rStyle w:val="Endnotenzeichen"/>
          <w:rFonts w:cstheme="minorHAnsi"/>
          <w:sz w:val="21"/>
          <w:szCs w:val="21"/>
        </w:rPr>
        <w:endnoteReference w:id="12"/>
      </w:r>
      <w:r w:rsidRPr="0077324C">
        <w:rPr>
          <w:rFonts w:cstheme="minorHAnsi"/>
          <w:sz w:val="21"/>
          <w:szCs w:val="21"/>
        </w:rPr>
        <w:t xml:space="preserve"> </w:t>
      </w:r>
      <w:r w:rsidR="0077324C" w:rsidRPr="0077324C">
        <w:rPr>
          <w:rFonts w:cstheme="minorHAnsi"/>
          <w:sz w:val="21"/>
          <w:szCs w:val="21"/>
        </w:rPr>
        <w:t>Damit wird die signifikant negative Klimarolle von Erdgas verschleiert.</w:t>
      </w:r>
    </w:p>
    <w:p w14:paraId="6DB1BA76" w14:textId="77777777" w:rsidR="00E56917" w:rsidRPr="0077324C" w:rsidRDefault="00E56917" w:rsidP="00B11EBF">
      <w:pPr>
        <w:spacing w:after="0" w:line="240" w:lineRule="auto"/>
        <w:rPr>
          <w:rFonts w:eastAsia="Times New Roman" w:cstheme="minorHAnsi"/>
          <w:sz w:val="21"/>
          <w:szCs w:val="21"/>
          <w:lang w:eastAsia="de-DE"/>
        </w:rPr>
      </w:pPr>
    </w:p>
    <w:p w14:paraId="6EEC9E8D" w14:textId="078D7406" w:rsidR="00B11EBF" w:rsidRPr="0077324C" w:rsidRDefault="00B11EBF" w:rsidP="00B11EBF">
      <w:pPr>
        <w:spacing w:after="0" w:line="240" w:lineRule="auto"/>
        <w:rPr>
          <w:rFonts w:eastAsia="Times New Roman" w:cstheme="minorHAnsi"/>
          <w:sz w:val="21"/>
          <w:szCs w:val="21"/>
          <w:lang w:eastAsia="de-DE"/>
        </w:rPr>
      </w:pPr>
      <w:r w:rsidRPr="0077324C">
        <w:rPr>
          <w:rFonts w:eastAsia="Times New Roman" w:cstheme="minorHAnsi"/>
          <w:sz w:val="21"/>
          <w:szCs w:val="21"/>
          <w:lang w:eastAsia="de-DE"/>
        </w:rPr>
        <w:t xml:space="preserve">Angesichts von Kipppunkten im Klimasystem, die schon in den nächsten 10 bis 20 Jahren zu abrupten und irreversiblen Klimaänderungen führen können, ist es unerlässlich, die aktuellen IPCC Zahlen für die Erstellung von Klimabilanzen zu verwenden und die extrem schädlichen Klimaeffekte von Methan in den ersten 20 Jahren zu berücksichtigen. </w:t>
      </w:r>
    </w:p>
    <w:p w14:paraId="3158B809" w14:textId="77777777" w:rsidR="00B11EBF" w:rsidRPr="0077324C" w:rsidRDefault="00B11EBF" w:rsidP="00B11EBF">
      <w:pPr>
        <w:spacing w:after="0" w:line="240" w:lineRule="auto"/>
        <w:rPr>
          <w:rFonts w:eastAsia="Times New Roman" w:cstheme="minorHAnsi"/>
          <w:sz w:val="21"/>
          <w:szCs w:val="21"/>
          <w:lang w:eastAsia="de-DE"/>
        </w:rPr>
      </w:pPr>
    </w:p>
    <w:p w14:paraId="0475FE5C" w14:textId="67C01FA9" w:rsidR="00B11EBF" w:rsidRPr="0077324C" w:rsidRDefault="00B11EBF" w:rsidP="00B11EBF">
      <w:pPr>
        <w:spacing w:after="0" w:line="240" w:lineRule="auto"/>
        <w:rPr>
          <w:rFonts w:eastAsia="Times New Roman" w:cstheme="minorHAnsi"/>
          <w:sz w:val="21"/>
          <w:szCs w:val="21"/>
          <w:lang w:eastAsia="de-DE"/>
        </w:rPr>
      </w:pPr>
      <w:r w:rsidRPr="0077324C">
        <w:rPr>
          <w:rFonts w:cstheme="minorHAnsi"/>
          <w:sz w:val="21"/>
          <w:szCs w:val="21"/>
        </w:rPr>
        <w:t>Die von Prof. Kevin Anderson, University of Manchester &amp; Uppsala University und Dr. John Broderick, University of Manchester &amp; Teesside University, im Oktober 2017 veröffentlichte Studie „</w:t>
      </w:r>
      <w:r w:rsidRPr="0077324C">
        <w:rPr>
          <w:rFonts w:cstheme="minorHAnsi"/>
          <w:i/>
          <w:sz w:val="21"/>
          <w:szCs w:val="21"/>
        </w:rPr>
        <w:t>Natural Gas and Climate Change</w:t>
      </w:r>
      <w:r w:rsidRPr="0077324C">
        <w:rPr>
          <w:rFonts w:cstheme="minorHAnsi"/>
          <w:sz w:val="21"/>
          <w:szCs w:val="21"/>
        </w:rPr>
        <w:t>“ ist mehr als eindeutig in ihrer Zusammenfassung. Bis 2035 wird der Verbrauch fossiler Brennstoffe inklusive Erdgas in der EU unvereinbar sein mit den Klimaschutzverpflichtungen gemäß dem Pariser Abkommen und der Notwendigkeit, essenzielle Klimakipppunkte auf jeden Fall zu verhindern.</w:t>
      </w:r>
      <w:r w:rsidR="002A370F" w:rsidRPr="0077324C">
        <w:rPr>
          <w:rStyle w:val="Endnotenzeichen"/>
          <w:rFonts w:cstheme="minorHAnsi"/>
          <w:sz w:val="21"/>
          <w:szCs w:val="21"/>
        </w:rPr>
        <w:endnoteReference w:id="13"/>
      </w:r>
      <w:r w:rsidRPr="0077324C">
        <w:rPr>
          <w:rFonts w:cstheme="minorHAnsi"/>
          <w:sz w:val="21"/>
          <w:szCs w:val="21"/>
        </w:rPr>
        <w:t xml:space="preserve"> </w:t>
      </w:r>
      <w:r w:rsidRPr="0077324C">
        <w:rPr>
          <w:rFonts w:eastAsia="Times New Roman" w:cstheme="minorHAnsi"/>
          <w:sz w:val="21"/>
          <w:szCs w:val="21"/>
          <w:lang w:eastAsia="de-DE"/>
        </w:rPr>
        <w:t xml:space="preserve">De facto haben wir keine Zeit mehr weiterhin in </w:t>
      </w:r>
      <w:r w:rsidR="002A370F" w:rsidRPr="0077324C">
        <w:rPr>
          <w:rFonts w:eastAsia="Times New Roman" w:cstheme="minorHAnsi"/>
          <w:sz w:val="21"/>
          <w:szCs w:val="21"/>
          <w:lang w:eastAsia="de-DE"/>
        </w:rPr>
        <w:t xml:space="preserve">die Förderung von </w:t>
      </w:r>
      <w:r w:rsidR="00D17E47">
        <w:rPr>
          <w:rFonts w:eastAsia="Times New Roman" w:cstheme="minorHAnsi"/>
          <w:sz w:val="21"/>
          <w:szCs w:val="21"/>
          <w:lang w:eastAsia="de-DE"/>
        </w:rPr>
        <w:t>fossilen Brennstoffen</w:t>
      </w:r>
      <w:r w:rsidR="002A370F" w:rsidRPr="0077324C">
        <w:rPr>
          <w:rFonts w:eastAsia="Times New Roman" w:cstheme="minorHAnsi"/>
          <w:sz w:val="21"/>
          <w:szCs w:val="21"/>
          <w:lang w:eastAsia="de-DE"/>
        </w:rPr>
        <w:t xml:space="preserve"> oder </w:t>
      </w:r>
      <w:r w:rsidRPr="0077324C">
        <w:rPr>
          <w:rFonts w:eastAsia="Times New Roman" w:cstheme="minorHAnsi"/>
          <w:sz w:val="21"/>
          <w:szCs w:val="21"/>
          <w:lang w:eastAsia="de-DE"/>
        </w:rPr>
        <w:t>den Ausbau der Gasinfrastruktur zu investieren.</w:t>
      </w:r>
    </w:p>
    <w:p w14:paraId="4F2D8354" w14:textId="77777777" w:rsidR="002A370F" w:rsidRPr="0077324C" w:rsidRDefault="002A370F" w:rsidP="00B11EBF">
      <w:pPr>
        <w:spacing w:after="0" w:line="240" w:lineRule="auto"/>
        <w:rPr>
          <w:rFonts w:eastAsia="Times New Roman" w:cstheme="minorHAnsi"/>
          <w:sz w:val="21"/>
          <w:szCs w:val="21"/>
          <w:lang w:eastAsia="de-DE"/>
        </w:rPr>
      </w:pPr>
    </w:p>
    <w:p w14:paraId="49C956C8" w14:textId="508B7361" w:rsidR="00E56917" w:rsidRPr="0077324C" w:rsidRDefault="00E56917" w:rsidP="00E56917">
      <w:pPr>
        <w:spacing w:after="0" w:line="240" w:lineRule="auto"/>
        <w:rPr>
          <w:rFonts w:cstheme="minorHAnsi"/>
          <w:sz w:val="21"/>
          <w:szCs w:val="21"/>
          <w:lang w:eastAsia="de-DE"/>
        </w:rPr>
      </w:pPr>
      <w:r w:rsidRPr="0077324C">
        <w:rPr>
          <w:rFonts w:cstheme="minorHAnsi"/>
          <w:sz w:val="21"/>
          <w:szCs w:val="21"/>
        </w:rPr>
        <w:t>Zudem schlagen die wesentlichen – durch die Öl-/Gasindustrie verursachten – Klimakosten immer stärker volkswirtschaftlich zu Buche. Gemäß Umweltbundesamt haben allein die deutschen Treibhausgas-Emissionen im Jahr 2016 Umweltkosten in Höhe von 164 Milliarden Euro verursacht.</w:t>
      </w:r>
      <w:r w:rsidR="0077324C" w:rsidRPr="0077324C">
        <w:rPr>
          <w:rStyle w:val="Endnotenzeichen"/>
          <w:rFonts w:cstheme="minorHAnsi"/>
          <w:sz w:val="21"/>
          <w:szCs w:val="21"/>
        </w:rPr>
        <w:endnoteReference w:id="14"/>
      </w:r>
      <w:r w:rsidR="0077324C" w:rsidRPr="0077324C">
        <w:rPr>
          <w:rFonts w:cstheme="minorHAnsi"/>
          <w:sz w:val="21"/>
          <w:szCs w:val="21"/>
        </w:rPr>
        <w:t xml:space="preserve"> </w:t>
      </w:r>
      <w:r w:rsidRPr="0077324C">
        <w:rPr>
          <w:rFonts w:cstheme="minorHAnsi"/>
          <w:sz w:val="21"/>
          <w:szCs w:val="21"/>
        </w:rPr>
        <w:t>Ein großflächiger Einstieg in die Fracking-Technik oder ein Ausbau der Förderung von Öl und Gas in Deutschland wäre unverantwortlich und weder mit den bindenden Klimaschutzzielen noch mit dem Pariser Abkommen vereinbar.</w:t>
      </w:r>
    </w:p>
    <w:p w14:paraId="018B1F55" w14:textId="30154998" w:rsidR="00A750B2" w:rsidRPr="0077324C" w:rsidRDefault="00A750B2" w:rsidP="00733B0F">
      <w:pPr>
        <w:autoSpaceDE w:val="0"/>
        <w:autoSpaceDN w:val="0"/>
        <w:adjustRightInd w:val="0"/>
        <w:spacing w:after="0" w:line="240" w:lineRule="auto"/>
        <w:rPr>
          <w:rFonts w:cstheme="minorHAnsi"/>
          <w:sz w:val="21"/>
          <w:szCs w:val="21"/>
        </w:rPr>
      </w:pPr>
    </w:p>
    <w:p w14:paraId="2C9A658F" w14:textId="77777777" w:rsidR="009F298A" w:rsidRPr="0077324C" w:rsidRDefault="00AF75FD" w:rsidP="00733B0F">
      <w:pPr>
        <w:autoSpaceDE w:val="0"/>
        <w:autoSpaceDN w:val="0"/>
        <w:adjustRightInd w:val="0"/>
        <w:spacing w:after="0" w:line="240" w:lineRule="auto"/>
        <w:rPr>
          <w:rFonts w:cstheme="minorHAnsi"/>
          <w:b/>
          <w:bCs/>
          <w:sz w:val="21"/>
          <w:szCs w:val="21"/>
        </w:rPr>
      </w:pPr>
      <w:r w:rsidRPr="0077324C">
        <w:rPr>
          <w:rFonts w:cstheme="minorHAnsi"/>
          <w:sz w:val="21"/>
          <w:szCs w:val="21"/>
        </w:rPr>
        <w:t xml:space="preserve">Fazit: </w:t>
      </w:r>
      <w:r w:rsidRPr="0077324C">
        <w:rPr>
          <w:rFonts w:cstheme="minorHAnsi"/>
          <w:b/>
          <w:bCs/>
          <w:sz w:val="21"/>
          <w:szCs w:val="21"/>
        </w:rPr>
        <w:t xml:space="preserve">Treibhausgasemissionen aus der aktuellen Produktion, Lagerung sowie dem Transport und Verbrauch von Erdgas müssen durch unabhängige Stellen (Behörden und/oder Institute) gemessen, überwacht und öffentlich gemacht werden. </w:t>
      </w:r>
    </w:p>
    <w:p w14:paraId="115D0209" w14:textId="77777777" w:rsidR="00316807" w:rsidRDefault="00316807" w:rsidP="00733B0F">
      <w:pPr>
        <w:autoSpaceDE w:val="0"/>
        <w:autoSpaceDN w:val="0"/>
        <w:adjustRightInd w:val="0"/>
        <w:spacing w:after="0" w:line="240" w:lineRule="auto"/>
        <w:rPr>
          <w:rFonts w:cstheme="minorHAnsi"/>
          <w:b/>
          <w:bCs/>
          <w:sz w:val="21"/>
          <w:szCs w:val="21"/>
        </w:rPr>
      </w:pPr>
    </w:p>
    <w:p w14:paraId="7EC71ECC" w14:textId="77777777" w:rsidR="00316807" w:rsidRDefault="00316807" w:rsidP="00733B0F">
      <w:pPr>
        <w:autoSpaceDE w:val="0"/>
        <w:autoSpaceDN w:val="0"/>
        <w:adjustRightInd w:val="0"/>
        <w:spacing w:after="0" w:line="240" w:lineRule="auto"/>
        <w:rPr>
          <w:rFonts w:cstheme="minorHAnsi"/>
          <w:b/>
          <w:bCs/>
          <w:sz w:val="21"/>
          <w:szCs w:val="21"/>
        </w:rPr>
      </w:pPr>
    </w:p>
    <w:p w14:paraId="65B9509A" w14:textId="77777777" w:rsidR="00316807" w:rsidRDefault="00316807" w:rsidP="00733B0F">
      <w:pPr>
        <w:autoSpaceDE w:val="0"/>
        <w:autoSpaceDN w:val="0"/>
        <w:adjustRightInd w:val="0"/>
        <w:spacing w:after="0" w:line="240" w:lineRule="auto"/>
        <w:rPr>
          <w:rFonts w:cstheme="minorHAnsi"/>
          <w:b/>
          <w:bCs/>
          <w:sz w:val="21"/>
          <w:szCs w:val="21"/>
        </w:rPr>
      </w:pPr>
    </w:p>
    <w:p w14:paraId="3BB51593" w14:textId="4EFD47D3" w:rsidR="00AF75FD" w:rsidRPr="0077324C" w:rsidRDefault="00AF75FD" w:rsidP="00733B0F">
      <w:pPr>
        <w:autoSpaceDE w:val="0"/>
        <w:autoSpaceDN w:val="0"/>
        <w:adjustRightInd w:val="0"/>
        <w:spacing w:after="0" w:line="240" w:lineRule="auto"/>
        <w:rPr>
          <w:rFonts w:cstheme="minorHAnsi"/>
          <w:b/>
          <w:bCs/>
          <w:sz w:val="21"/>
          <w:szCs w:val="21"/>
        </w:rPr>
      </w:pPr>
      <w:r w:rsidRPr="0077324C">
        <w:rPr>
          <w:rFonts w:cstheme="minorHAnsi"/>
          <w:b/>
          <w:bCs/>
          <w:sz w:val="21"/>
          <w:szCs w:val="21"/>
        </w:rPr>
        <w:t>Zudem muss bei der Erstellung von Klimabilanzen von Erdgas sowie bei der Durchführung von Klimaschutzprüfungen von Projekten die Treibhausgaspotenzialwerte aus dem jeweils aktuellen IPCC Report und zusätzlich der 20-Jahres-Zeitrahmen angewendet werden.</w:t>
      </w:r>
    </w:p>
    <w:p w14:paraId="691E789F" w14:textId="0476CD7F" w:rsidR="009F298A" w:rsidRPr="0077324C" w:rsidRDefault="00B778C0" w:rsidP="00733B0F">
      <w:pPr>
        <w:autoSpaceDE w:val="0"/>
        <w:autoSpaceDN w:val="0"/>
        <w:adjustRightInd w:val="0"/>
        <w:spacing w:after="0" w:line="240" w:lineRule="auto"/>
        <w:rPr>
          <w:rFonts w:cstheme="minorHAnsi"/>
          <w:b/>
          <w:bCs/>
          <w:sz w:val="21"/>
          <w:szCs w:val="21"/>
        </w:rPr>
      </w:pPr>
      <w:r w:rsidRPr="0077324C">
        <w:rPr>
          <w:rFonts w:cstheme="minorHAnsi"/>
          <w:b/>
          <w:bCs/>
          <w:sz w:val="21"/>
          <w:szCs w:val="21"/>
        </w:rPr>
        <w:t>Dem signifikanten Beitrag der Fracking-Anwendung zur globalen Erderwärmung muss im Bericht der Expertenkommission besonders Rechnung getragen werden.</w:t>
      </w:r>
    </w:p>
    <w:p w14:paraId="1AA3A6F4" w14:textId="1710AB4B" w:rsidR="0077324C" w:rsidRDefault="0077324C" w:rsidP="00733B0F">
      <w:pPr>
        <w:autoSpaceDE w:val="0"/>
        <w:autoSpaceDN w:val="0"/>
        <w:adjustRightInd w:val="0"/>
        <w:spacing w:after="0" w:line="240" w:lineRule="auto"/>
        <w:rPr>
          <w:rFonts w:cstheme="minorHAnsi"/>
          <w:sz w:val="21"/>
          <w:szCs w:val="21"/>
        </w:rPr>
      </w:pPr>
    </w:p>
    <w:p w14:paraId="75881C62" w14:textId="77777777" w:rsidR="00E33803" w:rsidRPr="0077324C" w:rsidRDefault="00E33803" w:rsidP="00733B0F">
      <w:pPr>
        <w:autoSpaceDE w:val="0"/>
        <w:autoSpaceDN w:val="0"/>
        <w:adjustRightInd w:val="0"/>
        <w:spacing w:after="0" w:line="240" w:lineRule="auto"/>
        <w:rPr>
          <w:rFonts w:cstheme="minorHAnsi"/>
          <w:sz w:val="21"/>
          <w:szCs w:val="21"/>
        </w:rPr>
      </w:pPr>
    </w:p>
    <w:p w14:paraId="56C6BBA7" w14:textId="5DA9CF91" w:rsidR="00733B0F" w:rsidRPr="0077324C" w:rsidRDefault="00316807" w:rsidP="00AA20ED">
      <w:pPr>
        <w:pStyle w:val="Listenabsatz"/>
        <w:numPr>
          <w:ilvl w:val="0"/>
          <w:numId w:val="11"/>
        </w:numPr>
        <w:autoSpaceDE w:val="0"/>
        <w:autoSpaceDN w:val="0"/>
        <w:adjustRightInd w:val="0"/>
        <w:spacing w:after="0" w:line="240" w:lineRule="auto"/>
        <w:rPr>
          <w:rFonts w:cstheme="minorHAnsi"/>
          <w:b/>
          <w:bCs/>
          <w:sz w:val="21"/>
          <w:szCs w:val="21"/>
        </w:rPr>
      </w:pPr>
      <w:r>
        <w:rPr>
          <w:rFonts w:cstheme="minorHAnsi"/>
          <w:b/>
          <w:bCs/>
          <w:sz w:val="21"/>
          <w:szCs w:val="21"/>
        </w:rPr>
        <w:t>Enormer</w:t>
      </w:r>
      <w:r w:rsidR="00733B0F" w:rsidRPr="0077324C">
        <w:rPr>
          <w:rFonts w:cstheme="minorHAnsi"/>
          <w:b/>
          <w:bCs/>
          <w:sz w:val="21"/>
          <w:szCs w:val="21"/>
        </w:rPr>
        <w:t xml:space="preserve"> Wasserverbrauch, flächendeckende Industr</w:t>
      </w:r>
      <w:r w:rsidR="002A25BD">
        <w:rPr>
          <w:rFonts w:cstheme="minorHAnsi"/>
          <w:b/>
          <w:bCs/>
          <w:sz w:val="21"/>
          <w:szCs w:val="21"/>
        </w:rPr>
        <w:t>ial</w:t>
      </w:r>
      <w:r w:rsidR="00733B0F" w:rsidRPr="0077324C">
        <w:rPr>
          <w:rFonts w:cstheme="minorHAnsi"/>
          <w:b/>
          <w:bCs/>
          <w:sz w:val="21"/>
          <w:szCs w:val="21"/>
        </w:rPr>
        <w:t>isierung, künstliche Erdbeben sowie Auswirkungen auf die öffentliche</w:t>
      </w:r>
      <w:r w:rsidR="00A9540B" w:rsidRPr="0077324C">
        <w:rPr>
          <w:rFonts w:cstheme="minorHAnsi"/>
          <w:b/>
          <w:bCs/>
          <w:sz w:val="21"/>
          <w:szCs w:val="21"/>
        </w:rPr>
        <w:t xml:space="preserve"> Gesundheit</w:t>
      </w:r>
      <w:r w:rsidR="00733B0F" w:rsidRPr="0077324C">
        <w:rPr>
          <w:rFonts w:cstheme="minorHAnsi"/>
          <w:b/>
          <w:bCs/>
          <w:sz w:val="21"/>
          <w:szCs w:val="21"/>
        </w:rPr>
        <w:t xml:space="preserve"> müssen beachtet und adressiert werden</w:t>
      </w:r>
      <w:r w:rsidR="00733B0F" w:rsidRPr="0077324C">
        <w:rPr>
          <w:rFonts w:cstheme="minorHAnsi"/>
          <w:b/>
          <w:bCs/>
          <w:sz w:val="21"/>
          <w:szCs w:val="21"/>
        </w:rPr>
        <w:br/>
      </w:r>
    </w:p>
    <w:p w14:paraId="34FA78FD" w14:textId="09691204" w:rsidR="00A9540B" w:rsidRPr="0077324C" w:rsidRDefault="00A9540B" w:rsidP="00720ABB">
      <w:pPr>
        <w:pStyle w:val="berschrift1"/>
        <w:spacing w:before="0" w:beforeAutospacing="0" w:after="0" w:afterAutospacing="0"/>
        <w:rPr>
          <w:rFonts w:asciiTheme="minorHAnsi" w:hAnsiTheme="minorHAnsi" w:cstheme="minorHAnsi"/>
          <w:b w:val="0"/>
          <w:bCs w:val="0"/>
          <w:sz w:val="21"/>
          <w:szCs w:val="21"/>
        </w:rPr>
      </w:pPr>
      <w:r w:rsidRPr="0077324C">
        <w:rPr>
          <w:rFonts w:asciiTheme="minorHAnsi" w:hAnsiTheme="minorHAnsi" w:cstheme="minorHAnsi"/>
          <w:b w:val="0"/>
          <w:bCs w:val="0"/>
          <w:sz w:val="21"/>
          <w:szCs w:val="21"/>
        </w:rPr>
        <w:t>Die mittlerweile</w:t>
      </w:r>
      <w:r w:rsidR="00720ABB" w:rsidRPr="0077324C">
        <w:rPr>
          <w:rFonts w:asciiTheme="minorHAnsi" w:hAnsiTheme="minorHAnsi" w:cstheme="minorHAnsi"/>
          <w:b w:val="0"/>
          <w:bCs w:val="0"/>
          <w:sz w:val="21"/>
          <w:szCs w:val="21"/>
        </w:rPr>
        <w:t xml:space="preserve"> – u.a. im </w:t>
      </w:r>
      <w:r w:rsidR="00720ABB" w:rsidRPr="0077324C">
        <w:rPr>
          <w:rFonts w:asciiTheme="minorHAnsi" w:hAnsiTheme="minorHAnsi" w:cstheme="minorHAnsi"/>
          <w:b w:val="0"/>
          <w:bCs w:val="0"/>
          <w:i/>
          <w:iCs/>
          <w:sz w:val="21"/>
          <w:szCs w:val="21"/>
        </w:rPr>
        <w:t>Compendium of Scientific, Medical, and Media Findings Demonstrating Risks and Harms of Fracking (Unconventional Gas and Oil Extraction</w:t>
      </w:r>
      <w:r w:rsidR="00720ABB" w:rsidRPr="0077324C">
        <w:rPr>
          <w:rFonts w:asciiTheme="minorHAnsi" w:hAnsiTheme="minorHAnsi" w:cstheme="minorHAnsi"/>
          <w:b w:val="0"/>
          <w:bCs w:val="0"/>
          <w:sz w:val="21"/>
          <w:szCs w:val="21"/>
        </w:rPr>
        <w:t>)</w:t>
      </w:r>
      <w:r w:rsidR="00720ABB" w:rsidRPr="0077324C">
        <w:rPr>
          <w:rStyle w:val="Endnotenzeichen"/>
          <w:rFonts w:asciiTheme="minorHAnsi" w:hAnsiTheme="minorHAnsi" w:cstheme="minorHAnsi"/>
          <w:b w:val="0"/>
          <w:bCs w:val="0"/>
          <w:sz w:val="21"/>
          <w:szCs w:val="21"/>
        </w:rPr>
        <w:t xml:space="preserve"> </w:t>
      </w:r>
      <w:r w:rsidR="00720ABB" w:rsidRPr="0077324C">
        <w:rPr>
          <w:rStyle w:val="Endnotenzeichen"/>
          <w:rFonts w:asciiTheme="minorHAnsi" w:hAnsiTheme="minorHAnsi" w:cstheme="minorHAnsi"/>
          <w:b w:val="0"/>
          <w:bCs w:val="0"/>
          <w:sz w:val="21"/>
          <w:szCs w:val="21"/>
        </w:rPr>
        <w:endnoteReference w:id="15"/>
      </w:r>
      <w:r w:rsidR="00720ABB" w:rsidRPr="0077324C">
        <w:rPr>
          <w:rFonts w:asciiTheme="minorHAnsi" w:hAnsiTheme="minorHAnsi" w:cstheme="minorHAnsi"/>
          <w:b w:val="0"/>
          <w:bCs w:val="0"/>
          <w:sz w:val="21"/>
          <w:szCs w:val="21"/>
        </w:rPr>
        <w:t xml:space="preserve"> -</w:t>
      </w:r>
      <w:r w:rsidRPr="0077324C">
        <w:rPr>
          <w:rFonts w:asciiTheme="minorHAnsi" w:hAnsiTheme="minorHAnsi" w:cstheme="minorHAnsi"/>
          <w:b w:val="0"/>
          <w:bCs w:val="0"/>
          <w:sz w:val="21"/>
          <w:szCs w:val="21"/>
        </w:rPr>
        <w:t xml:space="preserve"> </w:t>
      </w:r>
      <w:r w:rsidR="00B66513">
        <w:rPr>
          <w:rFonts w:asciiTheme="minorHAnsi" w:hAnsiTheme="minorHAnsi" w:cstheme="minorHAnsi"/>
          <w:b w:val="0"/>
          <w:bCs w:val="0"/>
          <w:sz w:val="21"/>
          <w:szCs w:val="21"/>
        </w:rPr>
        <w:t>ausführlich</w:t>
      </w:r>
      <w:r w:rsidRPr="0077324C">
        <w:rPr>
          <w:rFonts w:asciiTheme="minorHAnsi" w:hAnsiTheme="minorHAnsi" w:cstheme="minorHAnsi"/>
          <w:b w:val="0"/>
          <w:bCs w:val="0"/>
          <w:sz w:val="21"/>
          <w:szCs w:val="21"/>
        </w:rPr>
        <w:t xml:space="preserve"> dokumentierten Auswirkungen und Risiken, die mit der Fracking-Technik verbunden sind</w:t>
      </w:r>
      <w:r w:rsidR="00720ABB" w:rsidRPr="0077324C">
        <w:rPr>
          <w:rFonts w:asciiTheme="minorHAnsi" w:hAnsiTheme="minorHAnsi" w:cstheme="minorHAnsi"/>
          <w:b w:val="0"/>
          <w:bCs w:val="0"/>
          <w:sz w:val="21"/>
          <w:szCs w:val="21"/>
        </w:rPr>
        <w:t xml:space="preserve">, </w:t>
      </w:r>
      <w:r w:rsidRPr="0077324C">
        <w:rPr>
          <w:rFonts w:asciiTheme="minorHAnsi" w:hAnsiTheme="minorHAnsi" w:cstheme="minorHAnsi"/>
          <w:b w:val="0"/>
          <w:bCs w:val="0"/>
          <w:sz w:val="21"/>
          <w:szCs w:val="21"/>
        </w:rPr>
        <w:t>stehen völlig konträr zur Vorgabe und zum Ziel einer nachhaltigen Raumentwicklung. Die in § 1 Abs. 2 ROG beschriebene Leitvorstellung der nachhaltigen Raumentwicklung, die die sozialen und wirtschaftlichen Ansprüche an den Raum mit seinen ökologischen Funktionen in Einklang bringt und zu einer dauerhaften, großräumig ausgewogenen Ordnung mit gleichwertigen Lebensverhältnissen in den Teilräumen führt, wird durch den Einsatz und insbesondere die Ausweitung des Einsatzes der Fracking-Technik komplett ad absurdum geführt.</w:t>
      </w:r>
    </w:p>
    <w:p w14:paraId="08005B74" w14:textId="77777777" w:rsidR="00A9540B" w:rsidRPr="0077324C" w:rsidRDefault="00A9540B" w:rsidP="00720ABB">
      <w:pPr>
        <w:autoSpaceDE w:val="0"/>
        <w:autoSpaceDN w:val="0"/>
        <w:adjustRightInd w:val="0"/>
        <w:spacing w:after="0" w:line="240" w:lineRule="auto"/>
        <w:rPr>
          <w:rFonts w:cstheme="minorHAnsi"/>
          <w:sz w:val="21"/>
          <w:szCs w:val="21"/>
        </w:rPr>
      </w:pPr>
    </w:p>
    <w:p w14:paraId="10C126F1" w14:textId="77777777" w:rsidR="00A9540B" w:rsidRPr="0077324C" w:rsidRDefault="00A9540B" w:rsidP="00720ABB">
      <w:pPr>
        <w:shd w:val="clear" w:color="auto" w:fill="FFFFFF"/>
        <w:tabs>
          <w:tab w:val="left" w:pos="3688"/>
        </w:tabs>
        <w:autoSpaceDE w:val="0"/>
        <w:spacing w:after="0" w:line="240" w:lineRule="auto"/>
        <w:rPr>
          <w:rFonts w:eastAsia="Calibri" w:cstheme="minorHAnsi"/>
          <w:sz w:val="21"/>
          <w:szCs w:val="21"/>
        </w:rPr>
      </w:pPr>
      <w:r w:rsidRPr="0077324C">
        <w:rPr>
          <w:rFonts w:eastAsia="Calibri" w:cstheme="minorHAnsi"/>
          <w:sz w:val="21"/>
          <w:szCs w:val="21"/>
        </w:rPr>
        <w:t>Induzierte Erdbeben durch das Verpressen der Förderabwässer, versagende Bohrlochintegrität,</w:t>
      </w:r>
      <w:r w:rsidRPr="0077324C">
        <w:rPr>
          <w:rStyle w:val="Funotenzeichen"/>
          <w:rFonts w:eastAsia="Calibri" w:cstheme="minorHAnsi"/>
          <w:sz w:val="21"/>
          <w:szCs w:val="21"/>
        </w:rPr>
        <w:t xml:space="preserve"> </w:t>
      </w:r>
      <w:r w:rsidRPr="0077324C">
        <w:rPr>
          <w:rFonts w:eastAsia="Calibri" w:cstheme="minorHAnsi"/>
          <w:sz w:val="21"/>
          <w:szCs w:val="21"/>
        </w:rPr>
        <w:t>Methanleckagen, Luftverschmutzung durch Abfackeln, ein hoher Wasserverbrauch sowie das reelle Risiko der Kontamination von Ackerflächen, Fließgewässern und Gebieten zur Trinkwassergewinnung sind schwerwiegende Faktoren, die den Zielen des Klima-, Umwelt- und Gesundheitsschutzes und der Raumordnung sowie zusätzlich der Energiepolitik in Deutschland und der EU entgegenstehen und die Erdöl- und Erdgas-Produktion mittels Fracking verbieten.</w:t>
      </w:r>
    </w:p>
    <w:p w14:paraId="5CFFAF0F" w14:textId="77777777" w:rsidR="00A9540B" w:rsidRPr="0077324C" w:rsidRDefault="00A9540B" w:rsidP="00A9540B">
      <w:pPr>
        <w:shd w:val="clear" w:color="auto" w:fill="FFFFFF"/>
        <w:tabs>
          <w:tab w:val="left" w:pos="3688"/>
        </w:tabs>
        <w:autoSpaceDE w:val="0"/>
        <w:spacing w:after="0" w:line="200" w:lineRule="atLeast"/>
        <w:rPr>
          <w:rFonts w:eastAsia="Calibri" w:cstheme="minorHAnsi"/>
          <w:sz w:val="21"/>
          <w:szCs w:val="21"/>
        </w:rPr>
      </w:pPr>
    </w:p>
    <w:p w14:paraId="57EBC58A" w14:textId="6A80F295" w:rsidR="00A9540B" w:rsidRPr="0077324C" w:rsidRDefault="00A9540B" w:rsidP="00A9540B">
      <w:pPr>
        <w:autoSpaceDE w:val="0"/>
        <w:autoSpaceDN w:val="0"/>
        <w:adjustRightInd w:val="0"/>
        <w:spacing w:after="0" w:line="240" w:lineRule="auto"/>
        <w:rPr>
          <w:rFonts w:eastAsia="Calibri" w:cstheme="minorHAnsi"/>
          <w:sz w:val="21"/>
          <w:szCs w:val="21"/>
        </w:rPr>
      </w:pPr>
      <w:r w:rsidRPr="0077324C">
        <w:rPr>
          <w:rFonts w:eastAsia="Calibri" w:cstheme="minorHAnsi"/>
          <w:sz w:val="21"/>
          <w:szCs w:val="21"/>
        </w:rPr>
        <w:t xml:space="preserve">Ein wesentlicher Grund für die komplette Abkehr von fossilen und endlichen Energiequellen ist es, eine Energieversorgung zu erreichen, die den langfristigen Erhalt der Lebensgrundlage sichert und unkalkulierbare, langfristige Risiken und Beeinträchtigungen verhindert. Dies gilt in besonderer Weise für die zu schützenden Güter Klima, Luft, Wasser und Boden. Die Erkundung und Erschließung </w:t>
      </w:r>
      <w:r w:rsidR="00B72A43">
        <w:rPr>
          <w:rFonts w:eastAsia="Calibri" w:cstheme="minorHAnsi"/>
          <w:sz w:val="21"/>
          <w:szCs w:val="21"/>
        </w:rPr>
        <w:t xml:space="preserve">von </w:t>
      </w:r>
      <w:r w:rsidRPr="0077324C">
        <w:rPr>
          <w:rFonts w:eastAsia="Calibri" w:cstheme="minorHAnsi"/>
          <w:sz w:val="21"/>
          <w:szCs w:val="21"/>
        </w:rPr>
        <w:t xml:space="preserve">Vorkommen fossiler Energiequellen steht somit in einem </w:t>
      </w:r>
      <w:r w:rsidR="00B72A43">
        <w:rPr>
          <w:rFonts w:eastAsia="Calibri" w:cstheme="minorHAnsi"/>
          <w:sz w:val="21"/>
          <w:szCs w:val="21"/>
        </w:rPr>
        <w:t xml:space="preserve">extremen </w:t>
      </w:r>
      <w:r w:rsidRPr="0077324C">
        <w:rPr>
          <w:rFonts w:eastAsia="Calibri" w:cstheme="minorHAnsi"/>
          <w:sz w:val="21"/>
          <w:szCs w:val="21"/>
        </w:rPr>
        <w:t>Spannungsverhältnis zu den –</w:t>
      </w:r>
      <w:r w:rsidR="00D95FB5">
        <w:rPr>
          <w:rFonts w:eastAsia="Calibri" w:cstheme="minorHAnsi"/>
          <w:sz w:val="21"/>
          <w:szCs w:val="21"/>
        </w:rPr>
        <w:t xml:space="preserve"> </w:t>
      </w:r>
      <w:r w:rsidRPr="0077324C">
        <w:rPr>
          <w:rFonts w:eastAsia="Calibri" w:cstheme="minorHAnsi"/>
          <w:sz w:val="21"/>
          <w:szCs w:val="21"/>
        </w:rPr>
        <w:t>auch durch internationale Abkommen besiegelten – klima- und energiepolitischen Zielen.</w:t>
      </w:r>
    </w:p>
    <w:p w14:paraId="0B0618FA" w14:textId="77777777" w:rsidR="00A9540B" w:rsidRPr="0077324C" w:rsidRDefault="00A9540B" w:rsidP="00A9540B">
      <w:pPr>
        <w:autoSpaceDE w:val="0"/>
        <w:autoSpaceDN w:val="0"/>
        <w:adjustRightInd w:val="0"/>
        <w:spacing w:after="0" w:line="240" w:lineRule="auto"/>
        <w:rPr>
          <w:rFonts w:cstheme="minorHAnsi"/>
          <w:sz w:val="21"/>
          <w:szCs w:val="21"/>
        </w:rPr>
      </w:pPr>
    </w:p>
    <w:p w14:paraId="03F8DA22" w14:textId="06B54745" w:rsidR="00A9540B" w:rsidRPr="0077324C" w:rsidRDefault="00A9540B" w:rsidP="00A9540B">
      <w:pPr>
        <w:autoSpaceDE w:val="0"/>
        <w:autoSpaceDN w:val="0"/>
        <w:adjustRightInd w:val="0"/>
        <w:spacing w:after="0" w:line="240" w:lineRule="auto"/>
        <w:rPr>
          <w:rFonts w:cstheme="minorHAnsi"/>
          <w:sz w:val="21"/>
          <w:szCs w:val="21"/>
        </w:rPr>
      </w:pPr>
      <w:r w:rsidRPr="0077324C">
        <w:rPr>
          <w:rFonts w:cstheme="minorHAnsi"/>
          <w:sz w:val="21"/>
          <w:szCs w:val="21"/>
        </w:rPr>
        <w:t xml:space="preserve">Das zweite Fracking-Gutachten des Umweltbundesamtes (UBA) verweist </w:t>
      </w:r>
      <w:r w:rsidR="00F65447">
        <w:rPr>
          <w:rFonts w:cstheme="minorHAnsi"/>
          <w:sz w:val="21"/>
          <w:szCs w:val="21"/>
        </w:rPr>
        <w:t xml:space="preserve">u.a. </w:t>
      </w:r>
      <w:r w:rsidRPr="0077324C">
        <w:rPr>
          <w:rFonts w:cstheme="minorHAnsi"/>
          <w:sz w:val="21"/>
          <w:szCs w:val="21"/>
        </w:rPr>
        <w:t>auch auf die zunehmende Verschärfung der Flächennutzungskonflikte (z.B. im Bereich Wasserverbrauch):</w:t>
      </w:r>
    </w:p>
    <w:p w14:paraId="7CD4FD60" w14:textId="77777777" w:rsidR="00A9540B" w:rsidRPr="0077324C" w:rsidRDefault="00A9540B" w:rsidP="00A9540B">
      <w:pPr>
        <w:tabs>
          <w:tab w:val="left" w:pos="7088"/>
          <w:tab w:val="left" w:pos="7371"/>
        </w:tabs>
        <w:spacing w:after="0" w:line="240" w:lineRule="auto"/>
        <w:rPr>
          <w:rFonts w:cstheme="minorHAnsi"/>
          <w:sz w:val="21"/>
          <w:szCs w:val="21"/>
        </w:rPr>
      </w:pPr>
    </w:p>
    <w:p w14:paraId="12094077" w14:textId="7150AA28" w:rsidR="00A9540B" w:rsidRPr="0077324C" w:rsidRDefault="00A9540B" w:rsidP="00A9540B">
      <w:pPr>
        <w:tabs>
          <w:tab w:val="left" w:pos="7088"/>
          <w:tab w:val="left" w:pos="7371"/>
        </w:tabs>
        <w:spacing w:after="0" w:line="240" w:lineRule="auto"/>
        <w:rPr>
          <w:rFonts w:cstheme="minorHAnsi"/>
          <w:sz w:val="21"/>
          <w:szCs w:val="21"/>
        </w:rPr>
      </w:pPr>
      <w:r w:rsidRPr="0077324C">
        <w:rPr>
          <w:rFonts w:cstheme="minorHAnsi"/>
          <w:sz w:val="21"/>
          <w:szCs w:val="21"/>
        </w:rPr>
        <w:t>"</w:t>
      </w:r>
      <w:r w:rsidRPr="0077324C">
        <w:rPr>
          <w:rFonts w:cstheme="minorHAnsi"/>
          <w:i/>
          <w:iCs/>
          <w:sz w:val="21"/>
          <w:szCs w:val="21"/>
        </w:rPr>
        <w:t xml:space="preserve">Der ... </w:t>
      </w:r>
      <w:r w:rsidRPr="0077324C">
        <w:rPr>
          <w:rFonts w:cstheme="minorHAnsi"/>
          <w:b/>
          <w:bCs/>
          <w:i/>
          <w:iCs/>
          <w:sz w:val="21"/>
          <w:szCs w:val="21"/>
        </w:rPr>
        <w:t>Wasserbedarf</w:t>
      </w:r>
      <w:r w:rsidRPr="0077324C">
        <w:rPr>
          <w:rFonts w:cstheme="minorHAnsi"/>
          <w:i/>
          <w:iCs/>
          <w:sz w:val="21"/>
          <w:szCs w:val="21"/>
        </w:rPr>
        <w:t xml:space="preserve"> bei der unkonventionellen Gasförderung (</w:t>
      </w:r>
      <w:r w:rsidRPr="0077324C">
        <w:rPr>
          <w:rFonts w:cstheme="minorHAnsi"/>
          <w:b/>
          <w:bCs/>
          <w:i/>
          <w:iCs/>
          <w:sz w:val="21"/>
          <w:szCs w:val="21"/>
        </w:rPr>
        <w:t>sowohl Schiefer- wie Tightgasförderung) übersteigt in einigen Regionen Niedersachsens den vielfach schon heute als kritisch angesehenen Wasserbedarf für die landwirtschaftliche Beregnung so deutlich, dass an dieser Stelle eine hohe Wahrscheinlichkeit von Nutzungskonflikten zwischen Erdgasförderung und Landwirtschaft zu konstatieren ist.</w:t>
      </w:r>
      <w:r w:rsidRPr="0077324C">
        <w:rPr>
          <w:rFonts w:cstheme="minorHAnsi"/>
          <w:i/>
          <w:iCs/>
          <w:sz w:val="21"/>
          <w:szCs w:val="21"/>
        </w:rPr>
        <w:t xml:space="preserve"> Dies, zumal mit fortschreitendem Klimawandel und zunehmend trockeneren Sommern auch die Notwendigkeit von landwirtschaftlicher Beregnung in heute noch weniger dürregefährdeten Regionen zunehmen wird.</w:t>
      </w:r>
      <w:r w:rsidRPr="0077324C">
        <w:rPr>
          <w:rFonts w:cstheme="minorHAnsi"/>
          <w:sz w:val="21"/>
          <w:szCs w:val="21"/>
        </w:rPr>
        <w:t>"</w:t>
      </w:r>
      <w:r w:rsidR="00C65C76" w:rsidRPr="0077324C">
        <w:rPr>
          <w:rStyle w:val="Endnotenzeichen"/>
          <w:rFonts w:cstheme="minorHAnsi"/>
          <w:sz w:val="21"/>
          <w:szCs w:val="21"/>
        </w:rPr>
        <w:endnoteReference w:id="16"/>
      </w:r>
    </w:p>
    <w:p w14:paraId="15ABD3B1" w14:textId="01B5C807" w:rsidR="00E33803" w:rsidRDefault="00E33803">
      <w:pPr>
        <w:rPr>
          <w:rFonts w:eastAsia="QuayItcT-Blac" w:cstheme="minorHAnsi"/>
          <w:b/>
          <w:sz w:val="21"/>
          <w:szCs w:val="21"/>
        </w:rPr>
      </w:pPr>
      <w:r>
        <w:rPr>
          <w:rFonts w:eastAsia="QuayItcT-Blac" w:cstheme="minorHAnsi"/>
          <w:b/>
          <w:sz w:val="21"/>
          <w:szCs w:val="21"/>
        </w:rPr>
        <w:br w:type="page"/>
      </w:r>
    </w:p>
    <w:p w14:paraId="35C761BA" w14:textId="77777777" w:rsidR="00652201" w:rsidRPr="0077324C" w:rsidRDefault="00652201" w:rsidP="00652201">
      <w:pPr>
        <w:spacing w:after="0" w:line="200" w:lineRule="atLeast"/>
        <w:rPr>
          <w:rFonts w:eastAsia="QuayItcT-Blac" w:cstheme="minorHAnsi"/>
          <w:b/>
          <w:sz w:val="21"/>
          <w:szCs w:val="21"/>
        </w:rPr>
      </w:pPr>
    </w:p>
    <w:p w14:paraId="284033D4" w14:textId="77777777" w:rsidR="00316807" w:rsidRDefault="00316807" w:rsidP="00652201">
      <w:pPr>
        <w:spacing w:after="0" w:line="200" w:lineRule="atLeast"/>
        <w:rPr>
          <w:rFonts w:eastAsia="QuayItcT-Blac" w:cstheme="minorHAnsi"/>
          <w:b/>
          <w:sz w:val="21"/>
          <w:szCs w:val="21"/>
        </w:rPr>
      </w:pPr>
    </w:p>
    <w:p w14:paraId="7BE4DC5A" w14:textId="72079731" w:rsidR="00652201" w:rsidRPr="0077324C" w:rsidRDefault="00652201" w:rsidP="00652201">
      <w:pPr>
        <w:spacing w:after="0" w:line="200" w:lineRule="atLeast"/>
        <w:rPr>
          <w:rFonts w:eastAsia="Constantia" w:cstheme="minorHAnsi"/>
          <w:b/>
          <w:bCs/>
          <w:color w:val="000000"/>
          <w:sz w:val="21"/>
          <w:szCs w:val="21"/>
        </w:rPr>
      </w:pPr>
      <w:r w:rsidRPr="0077324C">
        <w:rPr>
          <w:rFonts w:eastAsia="QuayItcT-Blac" w:cstheme="minorHAnsi"/>
          <w:b/>
          <w:sz w:val="21"/>
          <w:szCs w:val="21"/>
        </w:rPr>
        <w:t>Übersicht 1: Wasserverluste und Trinkwasserverbrauch durch Fracking</w:t>
      </w:r>
      <w:r w:rsidRPr="0077324C">
        <w:rPr>
          <w:rStyle w:val="Endnotenzeichen"/>
          <w:rFonts w:eastAsia="QuayItcT-Blac" w:cstheme="minorHAnsi"/>
          <w:b/>
          <w:sz w:val="21"/>
          <w:szCs w:val="21"/>
        </w:rPr>
        <w:endnoteReference w:id="17"/>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2921"/>
        <w:gridCol w:w="2268"/>
        <w:gridCol w:w="4678"/>
      </w:tblGrid>
      <w:tr w:rsidR="00652201" w:rsidRPr="0077324C" w14:paraId="127ED3AA" w14:textId="77777777" w:rsidTr="00C6307B">
        <w:tc>
          <w:tcPr>
            <w:tcW w:w="2921" w:type="dxa"/>
            <w:tcBorders>
              <w:top w:val="single" w:sz="1" w:space="0" w:color="000000"/>
              <w:left w:val="single" w:sz="1" w:space="0" w:color="000000"/>
              <w:bottom w:val="single" w:sz="1" w:space="0" w:color="000000"/>
            </w:tcBorders>
            <w:shd w:val="clear" w:color="auto" w:fill="auto"/>
          </w:tcPr>
          <w:p w14:paraId="15E66B99" w14:textId="77777777" w:rsidR="00652201" w:rsidRPr="0077324C" w:rsidRDefault="00652201" w:rsidP="00E0317F">
            <w:pPr>
              <w:spacing w:after="0" w:line="200" w:lineRule="atLeast"/>
              <w:rPr>
                <w:rFonts w:eastAsia="QuayItcT-Blac" w:cstheme="minorHAnsi"/>
                <w:sz w:val="21"/>
                <w:szCs w:val="21"/>
              </w:rPr>
            </w:pPr>
            <w:r w:rsidRPr="0077324C">
              <w:rPr>
                <w:rFonts w:eastAsia="Constantia" w:cstheme="minorHAnsi"/>
                <w:b/>
                <w:bCs/>
                <w:color w:val="000000"/>
                <w:sz w:val="21"/>
                <w:szCs w:val="21"/>
              </w:rPr>
              <w:t>Schiefergas</w:t>
            </w:r>
          </w:p>
          <w:p w14:paraId="43BA8CA5" w14:textId="77777777" w:rsidR="00652201" w:rsidRPr="0077324C" w:rsidRDefault="00652201" w:rsidP="00E0317F">
            <w:pPr>
              <w:spacing w:after="0" w:line="200" w:lineRule="atLeast"/>
              <w:rPr>
                <w:rFonts w:eastAsia="QuayItcT-Blac" w:cstheme="minorHAnsi"/>
                <w:sz w:val="21"/>
                <w:szCs w:val="21"/>
              </w:rPr>
            </w:pPr>
          </w:p>
        </w:tc>
        <w:tc>
          <w:tcPr>
            <w:tcW w:w="2268" w:type="dxa"/>
            <w:tcBorders>
              <w:top w:val="single" w:sz="1" w:space="0" w:color="000000"/>
              <w:left w:val="single" w:sz="1" w:space="0" w:color="000000"/>
              <w:bottom w:val="single" w:sz="1" w:space="0" w:color="000000"/>
            </w:tcBorders>
            <w:shd w:val="clear" w:color="auto" w:fill="auto"/>
          </w:tcPr>
          <w:p w14:paraId="66B27B64" w14:textId="77777777" w:rsidR="00652201" w:rsidRPr="0077324C" w:rsidRDefault="00652201" w:rsidP="00E0317F">
            <w:pPr>
              <w:spacing w:after="0" w:line="200" w:lineRule="atLeast"/>
              <w:rPr>
                <w:rFonts w:eastAsia="QuayItcT-Blac" w:cstheme="minorHAnsi"/>
                <w:sz w:val="21"/>
                <w:szCs w:val="21"/>
              </w:rPr>
            </w:pPr>
            <w:r w:rsidRPr="0077324C">
              <w:rPr>
                <w:rFonts w:eastAsia="Constantia" w:cstheme="minorHAnsi"/>
                <w:color w:val="000000"/>
                <w:sz w:val="21"/>
                <w:szCs w:val="21"/>
              </w:rPr>
              <w:t>Wasserverlust</w:t>
            </w:r>
          </w:p>
          <w:p w14:paraId="6834A948" w14:textId="77777777" w:rsidR="00652201" w:rsidRPr="0077324C" w:rsidRDefault="00652201" w:rsidP="00E0317F">
            <w:pPr>
              <w:spacing w:after="0" w:line="200" w:lineRule="atLeast"/>
              <w:rPr>
                <w:rFonts w:eastAsia="QuayItcT-Blac" w:cstheme="minorHAnsi"/>
                <w:sz w:val="21"/>
                <w:szCs w:val="21"/>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474F15F5" w14:textId="77777777" w:rsidR="00652201" w:rsidRPr="0077324C" w:rsidRDefault="00652201" w:rsidP="00E0317F">
            <w:pPr>
              <w:spacing w:after="0" w:line="200" w:lineRule="atLeast"/>
              <w:rPr>
                <w:rFonts w:eastAsia="Constantia" w:cstheme="minorHAnsi"/>
                <w:color w:val="000000"/>
                <w:sz w:val="21"/>
                <w:szCs w:val="21"/>
              </w:rPr>
            </w:pPr>
            <w:r w:rsidRPr="0077324C">
              <w:rPr>
                <w:rFonts w:eastAsia="Constantia" w:cstheme="minorHAnsi"/>
                <w:color w:val="000000"/>
                <w:sz w:val="21"/>
                <w:szCs w:val="21"/>
              </w:rPr>
              <w:t xml:space="preserve">Entspricht dem täglichen Trinkwasserverbrauch </w:t>
            </w:r>
          </w:p>
          <w:p w14:paraId="635D6F2C" w14:textId="0BA07348" w:rsidR="00652201" w:rsidRPr="0077324C" w:rsidRDefault="00652201" w:rsidP="004F7B33">
            <w:pPr>
              <w:spacing w:after="0" w:line="200" w:lineRule="atLeast"/>
              <w:rPr>
                <w:rFonts w:eastAsia="QuayItcT-Blac" w:cstheme="minorHAnsi"/>
                <w:sz w:val="21"/>
                <w:szCs w:val="21"/>
              </w:rPr>
            </w:pPr>
            <w:r w:rsidRPr="0077324C">
              <w:rPr>
                <w:rFonts w:eastAsia="Constantia" w:cstheme="minorHAnsi"/>
                <w:color w:val="000000"/>
                <w:sz w:val="21"/>
                <w:szCs w:val="21"/>
              </w:rPr>
              <w:t xml:space="preserve">(in Deutschland </w:t>
            </w:r>
            <w:r w:rsidR="00FA2C68" w:rsidRPr="0077324C">
              <w:rPr>
                <w:rFonts w:eastAsia="Constantia" w:cstheme="minorHAnsi"/>
                <w:color w:val="000000"/>
                <w:sz w:val="21"/>
                <w:szCs w:val="21"/>
              </w:rPr>
              <w:t>lt. Stand 2018</w:t>
            </w:r>
            <w:r w:rsidRPr="0077324C">
              <w:rPr>
                <w:rFonts w:eastAsia="Constantia" w:cstheme="minorHAnsi"/>
                <w:color w:val="000000"/>
                <w:sz w:val="21"/>
                <w:szCs w:val="21"/>
              </w:rPr>
              <w:t xml:space="preserve"> rd. 127 l / Kopf</w:t>
            </w:r>
            <w:r w:rsidR="004F7B33" w:rsidRPr="0077324C">
              <w:rPr>
                <w:rStyle w:val="Endnotenzeichen"/>
                <w:rFonts w:eastAsia="Constantia" w:cstheme="minorHAnsi"/>
                <w:color w:val="000000"/>
                <w:sz w:val="21"/>
                <w:szCs w:val="21"/>
              </w:rPr>
              <w:endnoteReference w:id="18"/>
            </w:r>
            <w:r w:rsidRPr="0077324C">
              <w:rPr>
                <w:rFonts w:eastAsia="Constantia" w:cstheme="minorHAnsi"/>
                <w:color w:val="000000"/>
                <w:sz w:val="21"/>
                <w:szCs w:val="21"/>
              </w:rPr>
              <w:t>) von ca.</w:t>
            </w:r>
            <w:r w:rsidR="004F7B33" w:rsidRPr="0077324C">
              <w:rPr>
                <w:rFonts w:eastAsia="Constantia" w:cstheme="minorHAnsi"/>
                <w:color w:val="000000"/>
                <w:sz w:val="21"/>
                <w:szCs w:val="21"/>
              </w:rPr>
              <w:t xml:space="preserve"> (aufgerundet)</w:t>
            </w:r>
          </w:p>
        </w:tc>
      </w:tr>
      <w:tr w:rsidR="00652201" w:rsidRPr="0077324C" w14:paraId="274A7706" w14:textId="77777777" w:rsidTr="00C6307B">
        <w:tc>
          <w:tcPr>
            <w:tcW w:w="2921" w:type="dxa"/>
            <w:tcBorders>
              <w:left w:val="single" w:sz="1" w:space="0" w:color="000000"/>
              <w:bottom w:val="single" w:sz="1" w:space="0" w:color="000000"/>
            </w:tcBorders>
            <w:shd w:val="clear" w:color="auto" w:fill="auto"/>
          </w:tcPr>
          <w:p w14:paraId="268ACAB8" w14:textId="77777777" w:rsidR="00652201" w:rsidRPr="0077324C" w:rsidRDefault="00652201" w:rsidP="00E0317F">
            <w:pPr>
              <w:spacing w:after="0" w:line="200" w:lineRule="atLeast"/>
              <w:rPr>
                <w:rFonts w:eastAsia="Constantia" w:cstheme="minorHAnsi"/>
                <w:color w:val="000000"/>
                <w:sz w:val="21"/>
                <w:szCs w:val="21"/>
              </w:rPr>
            </w:pPr>
            <w:r w:rsidRPr="0077324C">
              <w:rPr>
                <w:rFonts w:eastAsia="Constantia" w:cstheme="minorHAnsi"/>
                <w:color w:val="000000"/>
                <w:sz w:val="21"/>
                <w:szCs w:val="21"/>
              </w:rPr>
              <w:t xml:space="preserve">Pro Frack </w:t>
            </w:r>
          </w:p>
        </w:tc>
        <w:tc>
          <w:tcPr>
            <w:tcW w:w="2268" w:type="dxa"/>
            <w:tcBorders>
              <w:left w:val="single" w:sz="1" w:space="0" w:color="000000"/>
              <w:bottom w:val="single" w:sz="1" w:space="0" w:color="000000"/>
            </w:tcBorders>
            <w:shd w:val="clear" w:color="auto" w:fill="auto"/>
          </w:tcPr>
          <w:p w14:paraId="358FC3E5" w14:textId="15EB3F66" w:rsidR="00652201" w:rsidRPr="0077324C" w:rsidRDefault="00652201" w:rsidP="003F1F77">
            <w:pPr>
              <w:spacing w:after="0" w:line="200" w:lineRule="atLeast"/>
              <w:jc w:val="right"/>
              <w:rPr>
                <w:rFonts w:eastAsia="Constantia" w:cstheme="minorHAnsi"/>
                <w:color w:val="000000"/>
                <w:sz w:val="21"/>
                <w:szCs w:val="21"/>
              </w:rPr>
            </w:pPr>
            <w:r w:rsidRPr="0077324C">
              <w:rPr>
                <w:rFonts w:eastAsia="Constantia" w:cstheme="minorHAnsi"/>
                <w:color w:val="000000"/>
                <w:sz w:val="21"/>
                <w:szCs w:val="21"/>
              </w:rPr>
              <w:t>ca. 1.100</w:t>
            </w:r>
            <w:r w:rsidR="00CD2A1D" w:rsidRPr="0077324C">
              <w:rPr>
                <w:rFonts w:eastAsia="Constantia" w:cstheme="minorHAnsi"/>
                <w:color w:val="000000"/>
                <w:sz w:val="21"/>
                <w:szCs w:val="21"/>
              </w:rPr>
              <w:t xml:space="preserve"> </w:t>
            </w:r>
            <w:r w:rsidRPr="0077324C">
              <w:rPr>
                <w:rFonts w:eastAsia="Constantia" w:cstheme="minorHAnsi"/>
                <w:color w:val="000000"/>
                <w:sz w:val="21"/>
                <w:szCs w:val="21"/>
              </w:rPr>
              <w:t xml:space="preserve"> – </w:t>
            </w:r>
            <w:r w:rsidR="00CD2A1D" w:rsidRPr="0077324C">
              <w:rPr>
                <w:rFonts w:eastAsia="Constantia" w:cstheme="minorHAnsi"/>
                <w:color w:val="000000"/>
                <w:sz w:val="21"/>
                <w:szCs w:val="21"/>
              </w:rPr>
              <w:t xml:space="preserve"> </w:t>
            </w:r>
            <w:r w:rsidRPr="0077324C">
              <w:rPr>
                <w:rFonts w:eastAsia="Constantia" w:cstheme="minorHAnsi"/>
                <w:color w:val="000000"/>
                <w:sz w:val="21"/>
                <w:szCs w:val="21"/>
              </w:rPr>
              <w:t>4.000 m³</w:t>
            </w:r>
          </w:p>
        </w:tc>
        <w:tc>
          <w:tcPr>
            <w:tcW w:w="4678" w:type="dxa"/>
            <w:tcBorders>
              <w:left w:val="single" w:sz="1" w:space="0" w:color="000000"/>
              <w:bottom w:val="single" w:sz="1" w:space="0" w:color="000000"/>
              <w:right w:val="single" w:sz="1" w:space="0" w:color="000000"/>
            </w:tcBorders>
            <w:shd w:val="clear" w:color="auto" w:fill="auto"/>
          </w:tcPr>
          <w:p w14:paraId="675AF3DE" w14:textId="5C67B558" w:rsidR="00652201" w:rsidRPr="0077324C" w:rsidRDefault="004F7B33" w:rsidP="003F1F77">
            <w:pPr>
              <w:spacing w:after="0" w:line="200" w:lineRule="atLeast"/>
              <w:jc w:val="right"/>
              <w:rPr>
                <w:rFonts w:cstheme="minorHAnsi"/>
                <w:sz w:val="21"/>
                <w:szCs w:val="21"/>
              </w:rPr>
            </w:pPr>
            <w:r w:rsidRPr="0077324C">
              <w:rPr>
                <w:rFonts w:eastAsia="Constantia" w:cstheme="minorHAnsi"/>
                <w:color w:val="000000"/>
                <w:sz w:val="21"/>
                <w:szCs w:val="21"/>
              </w:rPr>
              <w:t>8.700</w:t>
            </w:r>
            <w:r w:rsidR="00652201" w:rsidRPr="0077324C">
              <w:rPr>
                <w:rFonts w:eastAsia="Constantia" w:cstheme="minorHAnsi"/>
                <w:color w:val="000000"/>
                <w:sz w:val="21"/>
                <w:szCs w:val="21"/>
              </w:rPr>
              <w:t xml:space="preserve"> – 3</w:t>
            </w:r>
            <w:r w:rsidRPr="0077324C">
              <w:rPr>
                <w:rFonts w:eastAsia="Constantia" w:cstheme="minorHAnsi"/>
                <w:color w:val="000000"/>
                <w:sz w:val="21"/>
                <w:szCs w:val="21"/>
              </w:rPr>
              <w:t>1</w:t>
            </w:r>
            <w:r w:rsidR="00652201" w:rsidRPr="0077324C">
              <w:rPr>
                <w:rFonts w:eastAsia="Constantia" w:cstheme="minorHAnsi"/>
                <w:color w:val="000000"/>
                <w:sz w:val="21"/>
                <w:szCs w:val="21"/>
              </w:rPr>
              <w:t>.</w:t>
            </w:r>
            <w:r w:rsidRPr="0077324C">
              <w:rPr>
                <w:rFonts w:eastAsia="Constantia" w:cstheme="minorHAnsi"/>
                <w:color w:val="000000"/>
                <w:sz w:val="21"/>
                <w:szCs w:val="21"/>
              </w:rPr>
              <w:t>500</w:t>
            </w:r>
            <w:r w:rsidR="00652201" w:rsidRPr="0077324C">
              <w:rPr>
                <w:rFonts w:eastAsia="Constantia" w:cstheme="minorHAnsi"/>
                <w:color w:val="000000"/>
                <w:sz w:val="21"/>
                <w:szCs w:val="21"/>
              </w:rPr>
              <w:t xml:space="preserve"> Menschen</w:t>
            </w:r>
          </w:p>
        </w:tc>
      </w:tr>
      <w:tr w:rsidR="00652201" w:rsidRPr="0077324C" w14:paraId="580E30F7" w14:textId="77777777" w:rsidTr="00C6307B">
        <w:tc>
          <w:tcPr>
            <w:tcW w:w="2921" w:type="dxa"/>
            <w:tcBorders>
              <w:left w:val="single" w:sz="1" w:space="0" w:color="000000"/>
              <w:bottom w:val="single" w:sz="1" w:space="0" w:color="000000"/>
            </w:tcBorders>
            <w:shd w:val="clear" w:color="auto" w:fill="auto"/>
          </w:tcPr>
          <w:p w14:paraId="6EC4DFD1" w14:textId="77777777" w:rsidR="00652201" w:rsidRPr="0077324C" w:rsidRDefault="00652201" w:rsidP="00E0317F">
            <w:pPr>
              <w:spacing w:after="0" w:line="200" w:lineRule="atLeast"/>
              <w:rPr>
                <w:rFonts w:eastAsia="QuayItcT-Blac" w:cstheme="minorHAnsi"/>
                <w:sz w:val="21"/>
                <w:szCs w:val="21"/>
              </w:rPr>
            </w:pPr>
            <w:r w:rsidRPr="0077324C">
              <w:rPr>
                <w:rFonts w:eastAsia="Constantia" w:cstheme="minorHAnsi"/>
                <w:color w:val="000000"/>
                <w:sz w:val="21"/>
                <w:szCs w:val="21"/>
              </w:rPr>
              <w:t xml:space="preserve">Pro Bohrung </w:t>
            </w:r>
          </w:p>
        </w:tc>
        <w:tc>
          <w:tcPr>
            <w:tcW w:w="2268" w:type="dxa"/>
            <w:tcBorders>
              <w:left w:val="single" w:sz="1" w:space="0" w:color="000000"/>
              <w:bottom w:val="single" w:sz="1" w:space="0" w:color="000000"/>
            </w:tcBorders>
            <w:shd w:val="clear" w:color="auto" w:fill="auto"/>
          </w:tcPr>
          <w:p w14:paraId="11CB4F70" w14:textId="5384D292" w:rsidR="00652201" w:rsidRPr="0077324C" w:rsidRDefault="00652201" w:rsidP="003F1F77">
            <w:pPr>
              <w:spacing w:after="0" w:line="200" w:lineRule="atLeast"/>
              <w:jc w:val="right"/>
              <w:rPr>
                <w:rFonts w:eastAsia="Constantia" w:cstheme="minorHAnsi"/>
                <w:color w:val="000000"/>
                <w:sz w:val="21"/>
                <w:szCs w:val="21"/>
              </w:rPr>
            </w:pPr>
            <w:r w:rsidRPr="0077324C">
              <w:rPr>
                <w:rFonts w:eastAsia="QuayItcT-Blac" w:cstheme="minorHAnsi"/>
                <w:sz w:val="21"/>
                <w:szCs w:val="21"/>
              </w:rPr>
              <w:t>ca. 12.000 – 29.000 m³</w:t>
            </w:r>
          </w:p>
        </w:tc>
        <w:tc>
          <w:tcPr>
            <w:tcW w:w="4678" w:type="dxa"/>
            <w:tcBorders>
              <w:left w:val="single" w:sz="1" w:space="0" w:color="000000"/>
              <w:bottom w:val="single" w:sz="1" w:space="0" w:color="000000"/>
              <w:right w:val="single" w:sz="1" w:space="0" w:color="000000"/>
            </w:tcBorders>
            <w:shd w:val="clear" w:color="auto" w:fill="auto"/>
          </w:tcPr>
          <w:p w14:paraId="3FB32E90" w14:textId="7D6DB00A" w:rsidR="00652201" w:rsidRPr="0077324C" w:rsidRDefault="00652201" w:rsidP="003F1F77">
            <w:pPr>
              <w:spacing w:after="0" w:line="200" w:lineRule="atLeast"/>
              <w:jc w:val="right"/>
              <w:rPr>
                <w:rFonts w:cstheme="minorHAnsi"/>
                <w:sz w:val="21"/>
                <w:szCs w:val="21"/>
              </w:rPr>
            </w:pPr>
            <w:r w:rsidRPr="0077324C">
              <w:rPr>
                <w:rFonts w:eastAsia="Constantia" w:cstheme="minorHAnsi"/>
                <w:color w:val="000000"/>
                <w:sz w:val="21"/>
                <w:szCs w:val="21"/>
              </w:rPr>
              <w:t>9</w:t>
            </w:r>
            <w:r w:rsidR="004F7B33" w:rsidRPr="0077324C">
              <w:rPr>
                <w:rFonts w:eastAsia="Constantia" w:cstheme="minorHAnsi"/>
                <w:color w:val="000000"/>
                <w:sz w:val="21"/>
                <w:szCs w:val="21"/>
              </w:rPr>
              <w:t>4.500</w:t>
            </w:r>
            <w:r w:rsidRPr="0077324C">
              <w:rPr>
                <w:rFonts w:eastAsia="Constantia" w:cstheme="minorHAnsi"/>
                <w:color w:val="000000"/>
                <w:sz w:val="21"/>
                <w:szCs w:val="21"/>
              </w:rPr>
              <w:t xml:space="preserve"> – 2</w:t>
            </w:r>
            <w:r w:rsidR="004F7B33" w:rsidRPr="0077324C">
              <w:rPr>
                <w:rFonts w:eastAsia="Constantia" w:cstheme="minorHAnsi"/>
                <w:color w:val="000000"/>
                <w:sz w:val="21"/>
                <w:szCs w:val="21"/>
              </w:rPr>
              <w:t>28</w:t>
            </w:r>
            <w:r w:rsidRPr="0077324C">
              <w:rPr>
                <w:rFonts w:eastAsia="Constantia" w:cstheme="minorHAnsi"/>
                <w:color w:val="000000"/>
                <w:sz w:val="21"/>
                <w:szCs w:val="21"/>
              </w:rPr>
              <w:t>.</w:t>
            </w:r>
            <w:r w:rsidR="004F7B33" w:rsidRPr="0077324C">
              <w:rPr>
                <w:rFonts w:eastAsia="Constantia" w:cstheme="minorHAnsi"/>
                <w:color w:val="000000"/>
                <w:sz w:val="21"/>
                <w:szCs w:val="21"/>
              </w:rPr>
              <w:t>350</w:t>
            </w:r>
            <w:r w:rsidRPr="0077324C">
              <w:rPr>
                <w:rFonts w:eastAsia="Constantia" w:cstheme="minorHAnsi"/>
                <w:color w:val="000000"/>
                <w:sz w:val="21"/>
                <w:szCs w:val="21"/>
              </w:rPr>
              <w:t xml:space="preserve"> Menschen</w:t>
            </w:r>
          </w:p>
        </w:tc>
      </w:tr>
      <w:tr w:rsidR="00652201" w:rsidRPr="0077324C" w14:paraId="55B95A35" w14:textId="77777777" w:rsidTr="00C6307B">
        <w:tc>
          <w:tcPr>
            <w:tcW w:w="2921" w:type="dxa"/>
            <w:tcBorders>
              <w:left w:val="single" w:sz="1" w:space="0" w:color="000000"/>
              <w:bottom w:val="single" w:sz="1" w:space="0" w:color="000000"/>
            </w:tcBorders>
            <w:shd w:val="clear" w:color="auto" w:fill="auto"/>
          </w:tcPr>
          <w:p w14:paraId="337947BA" w14:textId="77777777" w:rsidR="00652201" w:rsidRPr="0077324C" w:rsidRDefault="00652201" w:rsidP="00E0317F">
            <w:pPr>
              <w:spacing w:after="0" w:line="200" w:lineRule="atLeast"/>
              <w:rPr>
                <w:rFonts w:eastAsia="QuayItcT-Blac" w:cstheme="minorHAnsi"/>
                <w:sz w:val="21"/>
                <w:szCs w:val="21"/>
              </w:rPr>
            </w:pPr>
            <w:r w:rsidRPr="0077324C">
              <w:rPr>
                <w:rFonts w:eastAsia="Constantia" w:cstheme="minorHAnsi"/>
                <w:color w:val="000000"/>
                <w:sz w:val="21"/>
                <w:szCs w:val="21"/>
              </w:rPr>
              <w:t>Pro Erschließungsgebiet</w:t>
            </w:r>
          </w:p>
          <w:p w14:paraId="4EC175CC" w14:textId="55F6D93E" w:rsidR="00652201" w:rsidRPr="0077324C" w:rsidRDefault="004F7B33" w:rsidP="00E0317F">
            <w:pPr>
              <w:spacing w:after="0" w:line="200" w:lineRule="atLeast"/>
              <w:rPr>
                <w:rFonts w:eastAsia="QuayItcT-Blac" w:cstheme="minorHAnsi"/>
                <w:sz w:val="21"/>
                <w:szCs w:val="21"/>
              </w:rPr>
            </w:pPr>
            <w:r w:rsidRPr="0077324C">
              <w:rPr>
                <w:rFonts w:eastAsia="QuayItcT-Blac" w:cstheme="minorHAnsi"/>
                <w:sz w:val="21"/>
                <w:szCs w:val="21"/>
              </w:rPr>
              <w:t>(hier exemplarisch 260 km²)</w:t>
            </w:r>
          </w:p>
        </w:tc>
        <w:tc>
          <w:tcPr>
            <w:tcW w:w="2268" w:type="dxa"/>
            <w:tcBorders>
              <w:left w:val="single" w:sz="1" w:space="0" w:color="000000"/>
              <w:bottom w:val="single" w:sz="1" w:space="0" w:color="000000"/>
            </w:tcBorders>
            <w:shd w:val="clear" w:color="auto" w:fill="auto"/>
          </w:tcPr>
          <w:p w14:paraId="6ED0FB08" w14:textId="78AD4E8E" w:rsidR="00652201" w:rsidRPr="0077324C" w:rsidRDefault="00652201" w:rsidP="003F1F77">
            <w:pPr>
              <w:spacing w:after="0" w:line="200" w:lineRule="atLeast"/>
              <w:jc w:val="right"/>
              <w:rPr>
                <w:rFonts w:eastAsia="QuayItcT-Blac" w:cstheme="minorHAnsi"/>
                <w:sz w:val="21"/>
                <w:szCs w:val="21"/>
              </w:rPr>
            </w:pPr>
            <w:r w:rsidRPr="0077324C">
              <w:rPr>
                <w:rFonts w:eastAsia="Constantia" w:cstheme="minorHAnsi"/>
                <w:color w:val="000000"/>
                <w:sz w:val="21"/>
                <w:szCs w:val="21"/>
              </w:rPr>
              <w:t>ca. 5,6 - 43,7 Mio. m³</w:t>
            </w:r>
          </w:p>
          <w:p w14:paraId="623B5FA2" w14:textId="77777777" w:rsidR="00652201" w:rsidRPr="0077324C" w:rsidRDefault="00652201" w:rsidP="003F1F77">
            <w:pPr>
              <w:spacing w:after="0" w:line="200" w:lineRule="atLeast"/>
              <w:jc w:val="right"/>
              <w:rPr>
                <w:rFonts w:eastAsia="QuayItcT-Blac" w:cstheme="minorHAnsi"/>
                <w:sz w:val="21"/>
                <w:szCs w:val="21"/>
              </w:rPr>
            </w:pPr>
          </w:p>
        </w:tc>
        <w:tc>
          <w:tcPr>
            <w:tcW w:w="4678" w:type="dxa"/>
            <w:tcBorders>
              <w:left w:val="single" w:sz="1" w:space="0" w:color="000000"/>
              <w:bottom w:val="single" w:sz="1" w:space="0" w:color="000000"/>
              <w:right w:val="single" w:sz="1" w:space="0" w:color="000000"/>
            </w:tcBorders>
            <w:shd w:val="clear" w:color="auto" w:fill="auto"/>
          </w:tcPr>
          <w:p w14:paraId="1AD0C244" w14:textId="098B3C4C" w:rsidR="00652201" w:rsidRPr="0077324C" w:rsidRDefault="00652201" w:rsidP="003F1F77">
            <w:pPr>
              <w:spacing w:after="0" w:line="200" w:lineRule="atLeast"/>
              <w:jc w:val="right"/>
              <w:rPr>
                <w:rFonts w:cstheme="minorHAnsi"/>
                <w:sz w:val="21"/>
                <w:szCs w:val="21"/>
              </w:rPr>
            </w:pPr>
            <w:r w:rsidRPr="0077324C">
              <w:rPr>
                <w:rFonts w:eastAsia="Constantia" w:cstheme="minorHAnsi"/>
                <w:color w:val="000000"/>
                <w:sz w:val="21"/>
                <w:szCs w:val="21"/>
              </w:rPr>
              <w:t>4</w:t>
            </w:r>
            <w:r w:rsidR="004F7B33" w:rsidRPr="0077324C">
              <w:rPr>
                <w:rFonts w:eastAsia="Constantia" w:cstheme="minorHAnsi"/>
                <w:color w:val="000000"/>
                <w:sz w:val="21"/>
                <w:szCs w:val="21"/>
              </w:rPr>
              <w:t>4</w:t>
            </w:r>
            <w:r w:rsidRPr="0077324C">
              <w:rPr>
                <w:rFonts w:eastAsia="Constantia" w:cstheme="minorHAnsi"/>
                <w:color w:val="000000"/>
                <w:sz w:val="21"/>
                <w:szCs w:val="21"/>
              </w:rPr>
              <w:t>.0</w:t>
            </w:r>
            <w:r w:rsidR="004F7B33" w:rsidRPr="0077324C">
              <w:rPr>
                <w:rFonts w:eastAsia="Constantia" w:cstheme="minorHAnsi"/>
                <w:color w:val="000000"/>
                <w:sz w:val="21"/>
                <w:szCs w:val="21"/>
              </w:rPr>
              <w:t>95.000</w:t>
            </w:r>
            <w:r w:rsidRPr="0077324C">
              <w:rPr>
                <w:rFonts w:eastAsia="Constantia" w:cstheme="minorHAnsi"/>
                <w:color w:val="000000"/>
                <w:sz w:val="21"/>
                <w:szCs w:val="21"/>
              </w:rPr>
              <w:t xml:space="preserve"> – 3</w:t>
            </w:r>
            <w:r w:rsidR="004F7B33" w:rsidRPr="0077324C">
              <w:rPr>
                <w:rFonts w:eastAsia="Constantia" w:cstheme="minorHAnsi"/>
                <w:color w:val="000000"/>
                <w:sz w:val="21"/>
                <w:szCs w:val="21"/>
              </w:rPr>
              <w:t>44.095.</w:t>
            </w:r>
            <w:r w:rsidRPr="0077324C">
              <w:rPr>
                <w:rFonts w:eastAsia="Constantia" w:cstheme="minorHAnsi"/>
                <w:color w:val="000000"/>
                <w:sz w:val="21"/>
                <w:szCs w:val="21"/>
              </w:rPr>
              <w:t>000 Menschen</w:t>
            </w:r>
          </w:p>
        </w:tc>
      </w:tr>
      <w:tr w:rsidR="00652201" w:rsidRPr="0077324C" w14:paraId="5D85FFE8" w14:textId="77777777" w:rsidTr="00C6307B">
        <w:tc>
          <w:tcPr>
            <w:tcW w:w="2921" w:type="dxa"/>
            <w:tcBorders>
              <w:top w:val="single" w:sz="1" w:space="0" w:color="000000"/>
              <w:left w:val="single" w:sz="1" w:space="0" w:color="000000"/>
              <w:bottom w:val="single" w:sz="1" w:space="0" w:color="000000"/>
            </w:tcBorders>
            <w:shd w:val="clear" w:color="auto" w:fill="auto"/>
          </w:tcPr>
          <w:p w14:paraId="54A588C9" w14:textId="77777777" w:rsidR="00652201" w:rsidRPr="0077324C" w:rsidRDefault="00652201" w:rsidP="00E0317F">
            <w:pPr>
              <w:spacing w:after="0" w:line="200" w:lineRule="atLeast"/>
              <w:rPr>
                <w:rFonts w:eastAsia="QuayItcT-Blac" w:cstheme="minorHAnsi"/>
                <w:sz w:val="21"/>
                <w:szCs w:val="21"/>
              </w:rPr>
            </w:pPr>
            <w:r w:rsidRPr="0077324C">
              <w:rPr>
                <w:rFonts w:eastAsia="Constantia" w:cstheme="minorHAnsi"/>
                <w:b/>
                <w:bCs/>
                <w:color w:val="000000"/>
                <w:sz w:val="21"/>
                <w:szCs w:val="21"/>
              </w:rPr>
              <w:t xml:space="preserve">Tight-Gas </w:t>
            </w:r>
          </w:p>
          <w:p w14:paraId="6D7D67C0" w14:textId="77777777" w:rsidR="00652201" w:rsidRPr="0077324C" w:rsidRDefault="00652201" w:rsidP="00E0317F">
            <w:pPr>
              <w:spacing w:after="0" w:line="200" w:lineRule="atLeast"/>
              <w:rPr>
                <w:rFonts w:eastAsia="QuayItcT-Blac" w:cstheme="minorHAnsi"/>
                <w:sz w:val="21"/>
                <w:szCs w:val="21"/>
              </w:rPr>
            </w:pPr>
          </w:p>
        </w:tc>
        <w:tc>
          <w:tcPr>
            <w:tcW w:w="2268" w:type="dxa"/>
            <w:tcBorders>
              <w:top w:val="single" w:sz="1" w:space="0" w:color="000000"/>
              <w:left w:val="single" w:sz="1" w:space="0" w:color="000000"/>
              <w:bottom w:val="single" w:sz="1" w:space="0" w:color="000000"/>
            </w:tcBorders>
            <w:shd w:val="clear" w:color="auto" w:fill="auto"/>
          </w:tcPr>
          <w:p w14:paraId="7F021DB1" w14:textId="77777777" w:rsidR="00652201" w:rsidRPr="0077324C" w:rsidRDefault="00652201" w:rsidP="003F1F77">
            <w:pPr>
              <w:spacing w:after="0" w:line="200" w:lineRule="atLeast"/>
              <w:rPr>
                <w:rFonts w:eastAsia="Constantia" w:cstheme="minorHAnsi"/>
                <w:color w:val="000000"/>
                <w:sz w:val="21"/>
                <w:szCs w:val="21"/>
              </w:rPr>
            </w:pPr>
            <w:r w:rsidRPr="0077324C">
              <w:rPr>
                <w:rFonts w:eastAsia="QuayItcT-Blac" w:cstheme="minorHAnsi"/>
                <w:sz w:val="21"/>
                <w:szCs w:val="21"/>
              </w:rPr>
              <w:t>Wasserverlust</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0F3A13B4" w14:textId="77777777" w:rsidR="00652201" w:rsidRPr="0077324C" w:rsidRDefault="00652201" w:rsidP="003F1F77">
            <w:pPr>
              <w:spacing w:after="0" w:line="200" w:lineRule="atLeast"/>
              <w:rPr>
                <w:rFonts w:eastAsia="Constantia" w:cstheme="minorHAnsi"/>
                <w:color w:val="000000"/>
                <w:sz w:val="21"/>
                <w:szCs w:val="21"/>
              </w:rPr>
            </w:pPr>
            <w:r w:rsidRPr="0077324C">
              <w:rPr>
                <w:rFonts w:eastAsia="Constantia" w:cstheme="minorHAnsi"/>
                <w:color w:val="000000"/>
                <w:sz w:val="21"/>
                <w:szCs w:val="21"/>
              </w:rPr>
              <w:t xml:space="preserve">Entspricht dem täglichen Trinkwasserverbrauch </w:t>
            </w:r>
          </w:p>
          <w:p w14:paraId="4212925E" w14:textId="6C786BE2" w:rsidR="00652201" w:rsidRPr="0077324C" w:rsidRDefault="00652201" w:rsidP="003F1F77">
            <w:pPr>
              <w:spacing w:after="0" w:line="200" w:lineRule="atLeast"/>
              <w:rPr>
                <w:rFonts w:cstheme="minorHAnsi"/>
                <w:sz w:val="21"/>
                <w:szCs w:val="21"/>
              </w:rPr>
            </w:pPr>
            <w:r w:rsidRPr="0077324C">
              <w:rPr>
                <w:rFonts w:eastAsia="Constantia" w:cstheme="minorHAnsi"/>
                <w:color w:val="000000"/>
                <w:sz w:val="21"/>
                <w:szCs w:val="21"/>
              </w:rPr>
              <w:t xml:space="preserve">(in Deutschland </w:t>
            </w:r>
            <w:r w:rsidR="00FA2C68" w:rsidRPr="0077324C">
              <w:rPr>
                <w:rFonts w:eastAsia="Constantia" w:cstheme="minorHAnsi"/>
                <w:color w:val="000000"/>
                <w:sz w:val="21"/>
                <w:szCs w:val="21"/>
              </w:rPr>
              <w:t xml:space="preserve">lt. Stand 2018 </w:t>
            </w:r>
            <w:r w:rsidRPr="0077324C">
              <w:rPr>
                <w:rFonts w:eastAsia="Constantia" w:cstheme="minorHAnsi"/>
                <w:color w:val="000000"/>
                <w:sz w:val="21"/>
                <w:szCs w:val="21"/>
              </w:rPr>
              <w:t>rd. 12</w:t>
            </w:r>
            <w:r w:rsidR="004F7B33" w:rsidRPr="0077324C">
              <w:rPr>
                <w:rFonts w:eastAsia="Constantia" w:cstheme="minorHAnsi"/>
                <w:color w:val="000000"/>
                <w:sz w:val="21"/>
                <w:szCs w:val="21"/>
              </w:rPr>
              <w:t>7</w:t>
            </w:r>
            <w:r w:rsidRPr="0077324C">
              <w:rPr>
                <w:rFonts w:eastAsia="Constantia" w:cstheme="minorHAnsi"/>
                <w:color w:val="000000"/>
                <w:sz w:val="21"/>
                <w:szCs w:val="21"/>
              </w:rPr>
              <w:t xml:space="preserve"> l / Kopf) von ca.</w:t>
            </w:r>
            <w:r w:rsidR="00FA2C68" w:rsidRPr="0077324C">
              <w:rPr>
                <w:rFonts w:eastAsia="Constantia" w:cstheme="minorHAnsi"/>
                <w:color w:val="000000"/>
                <w:sz w:val="21"/>
                <w:szCs w:val="21"/>
              </w:rPr>
              <w:t xml:space="preserve"> (aufgerundet)</w:t>
            </w:r>
          </w:p>
        </w:tc>
      </w:tr>
      <w:tr w:rsidR="00652201" w:rsidRPr="0077324C" w14:paraId="640CA766" w14:textId="77777777" w:rsidTr="00C6307B">
        <w:tc>
          <w:tcPr>
            <w:tcW w:w="2921" w:type="dxa"/>
            <w:tcBorders>
              <w:left w:val="single" w:sz="1" w:space="0" w:color="000000"/>
              <w:bottom w:val="single" w:sz="1" w:space="0" w:color="000000"/>
            </w:tcBorders>
            <w:shd w:val="clear" w:color="auto" w:fill="auto"/>
          </w:tcPr>
          <w:p w14:paraId="78B7465D" w14:textId="77777777" w:rsidR="00652201" w:rsidRPr="0077324C" w:rsidRDefault="00652201" w:rsidP="00E0317F">
            <w:pPr>
              <w:spacing w:after="0" w:line="200" w:lineRule="atLeast"/>
              <w:rPr>
                <w:rFonts w:eastAsia="Constantia" w:cstheme="minorHAnsi"/>
                <w:color w:val="000000"/>
                <w:sz w:val="21"/>
                <w:szCs w:val="21"/>
              </w:rPr>
            </w:pPr>
            <w:r w:rsidRPr="0077324C">
              <w:rPr>
                <w:rFonts w:eastAsia="Constantia" w:cstheme="minorHAnsi"/>
                <w:color w:val="000000"/>
                <w:sz w:val="21"/>
                <w:szCs w:val="21"/>
              </w:rPr>
              <w:t xml:space="preserve">Pro Frack </w:t>
            </w:r>
          </w:p>
        </w:tc>
        <w:tc>
          <w:tcPr>
            <w:tcW w:w="2268" w:type="dxa"/>
            <w:tcBorders>
              <w:left w:val="single" w:sz="1" w:space="0" w:color="000000"/>
              <w:bottom w:val="single" w:sz="1" w:space="0" w:color="000000"/>
            </w:tcBorders>
            <w:shd w:val="clear" w:color="auto" w:fill="auto"/>
          </w:tcPr>
          <w:p w14:paraId="2A134AE2" w14:textId="63102A64" w:rsidR="00652201" w:rsidRPr="0077324C" w:rsidRDefault="00652201" w:rsidP="003F1F77">
            <w:pPr>
              <w:spacing w:after="0" w:line="200" w:lineRule="atLeast"/>
              <w:jc w:val="right"/>
              <w:rPr>
                <w:rFonts w:eastAsia="Constantia" w:cstheme="minorHAnsi"/>
                <w:color w:val="000000"/>
                <w:sz w:val="21"/>
                <w:szCs w:val="21"/>
              </w:rPr>
            </w:pPr>
            <w:r w:rsidRPr="0077324C">
              <w:rPr>
                <w:rFonts w:eastAsia="Constantia" w:cstheme="minorHAnsi"/>
                <w:color w:val="000000"/>
                <w:sz w:val="21"/>
                <w:szCs w:val="21"/>
              </w:rPr>
              <w:t>ca. 37 – 2.300 m³</w:t>
            </w:r>
          </w:p>
        </w:tc>
        <w:tc>
          <w:tcPr>
            <w:tcW w:w="4678" w:type="dxa"/>
            <w:tcBorders>
              <w:left w:val="single" w:sz="1" w:space="0" w:color="000000"/>
              <w:bottom w:val="single" w:sz="1" w:space="0" w:color="000000"/>
              <w:right w:val="single" w:sz="1" w:space="0" w:color="000000"/>
            </w:tcBorders>
            <w:shd w:val="clear" w:color="auto" w:fill="auto"/>
          </w:tcPr>
          <w:p w14:paraId="412C858F" w14:textId="61C7F35C" w:rsidR="00652201" w:rsidRPr="0077324C" w:rsidRDefault="00CD2A1D" w:rsidP="003F1F77">
            <w:pPr>
              <w:spacing w:after="0" w:line="200" w:lineRule="atLeast"/>
              <w:jc w:val="right"/>
              <w:rPr>
                <w:rFonts w:cstheme="minorHAnsi"/>
                <w:sz w:val="21"/>
                <w:szCs w:val="21"/>
              </w:rPr>
            </w:pPr>
            <w:r w:rsidRPr="0077324C">
              <w:rPr>
                <w:rFonts w:eastAsia="Constantia" w:cstheme="minorHAnsi"/>
                <w:color w:val="000000"/>
                <w:sz w:val="21"/>
                <w:szCs w:val="21"/>
              </w:rPr>
              <w:t>290</w:t>
            </w:r>
            <w:r w:rsidR="00652201" w:rsidRPr="0077324C">
              <w:rPr>
                <w:rFonts w:eastAsia="Constantia" w:cstheme="minorHAnsi"/>
                <w:color w:val="000000"/>
                <w:sz w:val="21"/>
                <w:szCs w:val="21"/>
              </w:rPr>
              <w:t xml:space="preserve"> – 18.</w:t>
            </w:r>
            <w:r w:rsidRPr="0077324C">
              <w:rPr>
                <w:rFonts w:eastAsia="Constantia" w:cstheme="minorHAnsi"/>
                <w:color w:val="000000"/>
                <w:sz w:val="21"/>
                <w:szCs w:val="21"/>
              </w:rPr>
              <w:t>11</w:t>
            </w:r>
            <w:r w:rsidR="00652201" w:rsidRPr="0077324C">
              <w:rPr>
                <w:rFonts w:eastAsia="Constantia" w:cstheme="minorHAnsi"/>
                <w:color w:val="000000"/>
                <w:sz w:val="21"/>
                <w:szCs w:val="21"/>
              </w:rPr>
              <w:t>0 Menschen</w:t>
            </w:r>
          </w:p>
        </w:tc>
      </w:tr>
      <w:tr w:rsidR="00652201" w:rsidRPr="0077324C" w14:paraId="5ADA5E91" w14:textId="77777777" w:rsidTr="00C6307B">
        <w:tc>
          <w:tcPr>
            <w:tcW w:w="2921" w:type="dxa"/>
            <w:tcBorders>
              <w:left w:val="single" w:sz="1" w:space="0" w:color="000000"/>
              <w:bottom w:val="single" w:sz="1" w:space="0" w:color="000000"/>
            </w:tcBorders>
            <w:shd w:val="clear" w:color="auto" w:fill="auto"/>
          </w:tcPr>
          <w:p w14:paraId="547ED5D6" w14:textId="77777777" w:rsidR="00652201" w:rsidRPr="0077324C" w:rsidRDefault="00652201" w:rsidP="00E0317F">
            <w:pPr>
              <w:spacing w:after="0" w:line="200" w:lineRule="atLeast"/>
              <w:rPr>
                <w:rFonts w:eastAsia="Constantia" w:cstheme="minorHAnsi"/>
                <w:color w:val="000000"/>
                <w:sz w:val="21"/>
                <w:szCs w:val="21"/>
              </w:rPr>
            </w:pPr>
            <w:r w:rsidRPr="0077324C">
              <w:rPr>
                <w:rFonts w:eastAsia="Constantia" w:cstheme="minorHAnsi"/>
                <w:color w:val="000000"/>
                <w:sz w:val="21"/>
                <w:szCs w:val="21"/>
              </w:rPr>
              <w:t xml:space="preserve">Pro Bohrung </w:t>
            </w:r>
          </w:p>
        </w:tc>
        <w:tc>
          <w:tcPr>
            <w:tcW w:w="2268" w:type="dxa"/>
            <w:tcBorders>
              <w:left w:val="single" w:sz="1" w:space="0" w:color="000000"/>
              <w:bottom w:val="single" w:sz="1" w:space="0" w:color="000000"/>
            </w:tcBorders>
            <w:shd w:val="clear" w:color="auto" w:fill="auto"/>
          </w:tcPr>
          <w:p w14:paraId="20DE4E28" w14:textId="4A22658D" w:rsidR="00652201" w:rsidRPr="0077324C" w:rsidRDefault="00652201" w:rsidP="003F1F77">
            <w:pPr>
              <w:spacing w:after="0" w:line="200" w:lineRule="atLeast"/>
              <w:jc w:val="right"/>
              <w:rPr>
                <w:rFonts w:eastAsia="Constantia" w:cstheme="minorHAnsi"/>
                <w:color w:val="000000"/>
                <w:sz w:val="21"/>
                <w:szCs w:val="21"/>
              </w:rPr>
            </w:pPr>
            <w:r w:rsidRPr="0077324C">
              <w:rPr>
                <w:rFonts w:eastAsia="Constantia" w:cstheme="minorHAnsi"/>
                <w:color w:val="000000"/>
                <w:sz w:val="21"/>
                <w:szCs w:val="21"/>
              </w:rPr>
              <w:t>ca. 73 - 5.700 m³</w:t>
            </w:r>
          </w:p>
        </w:tc>
        <w:tc>
          <w:tcPr>
            <w:tcW w:w="4678" w:type="dxa"/>
            <w:tcBorders>
              <w:left w:val="single" w:sz="1" w:space="0" w:color="000000"/>
              <w:bottom w:val="single" w:sz="1" w:space="0" w:color="000000"/>
              <w:right w:val="single" w:sz="1" w:space="0" w:color="000000"/>
            </w:tcBorders>
            <w:shd w:val="clear" w:color="auto" w:fill="auto"/>
          </w:tcPr>
          <w:p w14:paraId="0B691F17" w14:textId="7C3E1530" w:rsidR="00652201" w:rsidRPr="0077324C" w:rsidRDefault="00CD2A1D" w:rsidP="003F1F77">
            <w:pPr>
              <w:spacing w:after="0" w:line="200" w:lineRule="atLeast"/>
              <w:jc w:val="right"/>
              <w:rPr>
                <w:rFonts w:cstheme="minorHAnsi"/>
                <w:sz w:val="21"/>
                <w:szCs w:val="21"/>
              </w:rPr>
            </w:pPr>
            <w:r w:rsidRPr="0077324C">
              <w:rPr>
                <w:rFonts w:eastAsia="Constantia" w:cstheme="minorHAnsi"/>
                <w:color w:val="000000"/>
                <w:sz w:val="21"/>
                <w:szCs w:val="21"/>
              </w:rPr>
              <w:t>575</w:t>
            </w:r>
            <w:r w:rsidR="00652201" w:rsidRPr="0077324C">
              <w:rPr>
                <w:rFonts w:eastAsia="Constantia" w:cstheme="minorHAnsi"/>
                <w:color w:val="000000"/>
                <w:sz w:val="21"/>
                <w:szCs w:val="21"/>
              </w:rPr>
              <w:t xml:space="preserve"> – 4</w:t>
            </w:r>
            <w:r w:rsidRPr="0077324C">
              <w:rPr>
                <w:rFonts w:eastAsia="Constantia" w:cstheme="minorHAnsi"/>
                <w:color w:val="000000"/>
                <w:sz w:val="21"/>
                <w:szCs w:val="21"/>
              </w:rPr>
              <w:t>5.000</w:t>
            </w:r>
            <w:r w:rsidR="00652201" w:rsidRPr="0077324C">
              <w:rPr>
                <w:rFonts w:eastAsia="Constantia" w:cstheme="minorHAnsi"/>
                <w:color w:val="000000"/>
                <w:sz w:val="21"/>
                <w:szCs w:val="21"/>
              </w:rPr>
              <w:t xml:space="preserve"> Menschen</w:t>
            </w:r>
          </w:p>
        </w:tc>
      </w:tr>
      <w:tr w:rsidR="00652201" w:rsidRPr="0077324C" w14:paraId="0D307015" w14:textId="77777777" w:rsidTr="00C6307B">
        <w:tc>
          <w:tcPr>
            <w:tcW w:w="2921" w:type="dxa"/>
            <w:tcBorders>
              <w:left w:val="single" w:sz="1" w:space="0" w:color="000000"/>
              <w:bottom w:val="single" w:sz="1" w:space="0" w:color="000000"/>
            </w:tcBorders>
            <w:shd w:val="clear" w:color="auto" w:fill="auto"/>
          </w:tcPr>
          <w:p w14:paraId="0D38C0D6" w14:textId="77777777" w:rsidR="00652201" w:rsidRPr="0077324C" w:rsidRDefault="00652201" w:rsidP="00E0317F">
            <w:pPr>
              <w:spacing w:after="0" w:line="200" w:lineRule="atLeast"/>
              <w:rPr>
                <w:rFonts w:eastAsia="Constantia" w:cstheme="minorHAnsi"/>
                <w:color w:val="000000"/>
                <w:sz w:val="21"/>
                <w:szCs w:val="21"/>
              </w:rPr>
            </w:pPr>
            <w:r w:rsidRPr="0077324C">
              <w:rPr>
                <w:rFonts w:eastAsia="Constantia" w:cstheme="minorHAnsi"/>
                <w:color w:val="000000"/>
                <w:sz w:val="21"/>
                <w:szCs w:val="21"/>
              </w:rPr>
              <w:t>Pro Erschließungsgebiet</w:t>
            </w:r>
          </w:p>
          <w:p w14:paraId="7597A003" w14:textId="554A7FF9" w:rsidR="004F7B33" w:rsidRPr="0077324C" w:rsidRDefault="004F7B33" w:rsidP="00E0317F">
            <w:pPr>
              <w:spacing w:after="0" w:line="200" w:lineRule="atLeast"/>
              <w:rPr>
                <w:rFonts w:eastAsia="Constantia" w:cstheme="minorHAnsi"/>
                <w:color w:val="000000"/>
                <w:sz w:val="21"/>
                <w:szCs w:val="21"/>
              </w:rPr>
            </w:pPr>
            <w:r w:rsidRPr="0077324C">
              <w:rPr>
                <w:rFonts w:eastAsia="QuayItcT-Blac" w:cstheme="minorHAnsi"/>
                <w:sz w:val="21"/>
                <w:szCs w:val="21"/>
              </w:rPr>
              <w:t>(hier exemplarisch 260 km²)</w:t>
            </w:r>
          </w:p>
        </w:tc>
        <w:tc>
          <w:tcPr>
            <w:tcW w:w="2268" w:type="dxa"/>
            <w:tcBorders>
              <w:left w:val="single" w:sz="1" w:space="0" w:color="000000"/>
              <w:bottom w:val="single" w:sz="1" w:space="0" w:color="000000"/>
            </w:tcBorders>
            <w:shd w:val="clear" w:color="auto" w:fill="auto"/>
          </w:tcPr>
          <w:p w14:paraId="54E27FE3" w14:textId="6A503703" w:rsidR="00652201" w:rsidRPr="0077324C" w:rsidRDefault="00652201" w:rsidP="003F1F77">
            <w:pPr>
              <w:spacing w:after="0" w:line="200" w:lineRule="atLeast"/>
              <w:jc w:val="right"/>
              <w:rPr>
                <w:rFonts w:eastAsia="Constantia" w:cstheme="minorHAnsi"/>
                <w:color w:val="000000"/>
                <w:sz w:val="21"/>
                <w:szCs w:val="21"/>
              </w:rPr>
            </w:pPr>
            <w:r w:rsidRPr="0077324C">
              <w:rPr>
                <w:rFonts w:eastAsia="Constantia" w:cstheme="minorHAnsi"/>
                <w:color w:val="000000"/>
                <w:sz w:val="21"/>
                <w:szCs w:val="21"/>
              </w:rPr>
              <w:t>ca. 1,7 - 21,8 Mio. m³</w:t>
            </w:r>
          </w:p>
        </w:tc>
        <w:tc>
          <w:tcPr>
            <w:tcW w:w="4678" w:type="dxa"/>
            <w:tcBorders>
              <w:left w:val="single" w:sz="1" w:space="0" w:color="000000"/>
              <w:bottom w:val="single" w:sz="1" w:space="0" w:color="000000"/>
              <w:right w:val="single" w:sz="1" w:space="0" w:color="000000"/>
            </w:tcBorders>
            <w:shd w:val="clear" w:color="auto" w:fill="auto"/>
          </w:tcPr>
          <w:p w14:paraId="1050F76B" w14:textId="7FF32484" w:rsidR="00652201" w:rsidRPr="0077324C" w:rsidRDefault="00652201" w:rsidP="003F1F77">
            <w:pPr>
              <w:spacing w:after="0" w:line="200" w:lineRule="atLeast"/>
              <w:jc w:val="right"/>
              <w:rPr>
                <w:rFonts w:cstheme="minorHAnsi"/>
                <w:sz w:val="21"/>
                <w:szCs w:val="21"/>
              </w:rPr>
            </w:pPr>
            <w:r w:rsidRPr="0077324C">
              <w:rPr>
                <w:rFonts w:eastAsia="Constantia" w:cstheme="minorHAnsi"/>
                <w:color w:val="000000"/>
                <w:sz w:val="21"/>
                <w:szCs w:val="21"/>
              </w:rPr>
              <w:t>13.</w:t>
            </w:r>
            <w:r w:rsidR="00CD2A1D" w:rsidRPr="0077324C">
              <w:rPr>
                <w:rFonts w:eastAsia="Constantia" w:cstheme="minorHAnsi"/>
                <w:color w:val="000000"/>
                <w:sz w:val="21"/>
                <w:szCs w:val="21"/>
              </w:rPr>
              <w:t>385</w:t>
            </w:r>
            <w:r w:rsidRPr="0077324C">
              <w:rPr>
                <w:rFonts w:eastAsia="Constantia" w:cstheme="minorHAnsi"/>
                <w:color w:val="000000"/>
                <w:sz w:val="21"/>
                <w:szCs w:val="21"/>
              </w:rPr>
              <w:t>.000 – 17</w:t>
            </w:r>
            <w:r w:rsidR="00CD2A1D" w:rsidRPr="0077324C">
              <w:rPr>
                <w:rFonts w:eastAsia="Constantia" w:cstheme="minorHAnsi"/>
                <w:color w:val="000000"/>
                <w:sz w:val="21"/>
                <w:szCs w:val="21"/>
              </w:rPr>
              <w:t>1.650</w:t>
            </w:r>
            <w:r w:rsidRPr="0077324C">
              <w:rPr>
                <w:rFonts w:eastAsia="Constantia" w:cstheme="minorHAnsi"/>
                <w:color w:val="000000"/>
                <w:sz w:val="21"/>
                <w:szCs w:val="21"/>
              </w:rPr>
              <w:t>.000 Menschen</w:t>
            </w:r>
          </w:p>
        </w:tc>
      </w:tr>
    </w:tbl>
    <w:p w14:paraId="3F6533B4" w14:textId="4DB544F5" w:rsidR="00652201" w:rsidRPr="0077324C" w:rsidRDefault="00652201" w:rsidP="00A9540B">
      <w:pPr>
        <w:autoSpaceDE w:val="0"/>
        <w:autoSpaceDN w:val="0"/>
        <w:adjustRightInd w:val="0"/>
        <w:spacing w:after="0" w:line="240" w:lineRule="auto"/>
        <w:rPr>
          <w:rFonts w:cstheme="minorHAnsi"/>
          <w:sz w:val="21"/>
          <w:szCs w:val="21"/>
        </w:rPr>
      </w:pPr>
    </w:p>
    <w:p w14:paraId="3E2347D7" w14:textId="768E2475" w:rsidR="00197019" w:rsidRPr="0077324C" w:rsidRDefault="00197019" w:rsidP="00A9540B">
      <w:pPr>
        <w:autoSpaceDE w:val="0"/>
        <w:autoSpaceDN w:val="0"/>
        <w:adjustRightInd w:val="0"/>
        <w:spacing w:after="0" w:line="240" w:lineRule="auto"/>
        <w:rPr>
          <w:rFonts w:cstheme="minorHAnsi"/>
          <w:sz w:val="21"/>
          <w:szCs w:val="21"/>
        </w:rPr>
      </w:pPr>
      <w:r w:rsidRPr="0077324C">
        <w:rPr>
          <w:rFonts w:cstheme="minorHAnsi"/>
          <w:sz w:val="21"/>
          <w:szCs w:val="21"/>
        </w:rPr>
        <w:t xml:space="preserve">Erheblich ist auch die systematische und notwendige flächendeckende Industrialisierung betroffener Regionen. Das UBA hat in seinem 2014er Gutachten errechnet, dass Deutschland rd. 48.000 Bohrungen auf einer Fläche von rd. 9.300 km² benötigen würde um die vermuteten Schiefergasressourcen zu fördern. </w:t>
      </w:r>
    </w:p>
    <w:p w14:paraId="1D540B52" w14:textId="3C431D62" w:rsidR="00197019" w:rsidRPr="0077324C" w:rsidRDefault="00197019" w:rsidP="00A9540B">
      <w:pPr>
        <w:autoSpaceDE w:val="0"/>
        <w:autoSpaceDN w:val="0"/>
        <w:adjustRightInd w:val="0"/>
        <w:spacing w:after="0" w:line="240" w:lineRule="auto"/>
        <w:rPr>
          <w:rFonts w:cstheme="minorHAnsi"/>
          <w:sz w:val="21"/>
          <w:szCs w:val="21"/>
        </w:rPr>
      </w:pPr>
    </w:p>
    <w:p w14:paraId="75CB1536" w14:textId="58F54A3B" w:rsidR="00197019" w:rsidRPr="0077324C" w:rsidRDefault="00197019" w:rsidP="00A9540B">
      <w:pPr>
        <w:autoSpaceDE w:val="0"/>
        <w:autoSpaceDN w:val="0"/>
        <w:adjustRightInd w:val="0"/>
        <w:spacing w:after="0" w:line="240" w:lineRule="auto"/>
        <w:rPr>
          <w:rFonts w:cstheme="minorHAnsi"/>
          <w:sz w:val="21"/>
          <w:szCs w:val="21"/>
        </w:rPr>
      </w:pPr>
      <w:r w:rsidRPr="0077324C">
        <w:rPr>
          <w:rFonts w:cstheme="minorHAnsi"/>
          <w:sz w:val="21"/>
          <w:szCs w:val="21"/>
        </w:rPr>
        <w:t>Diese Kalkulation entspricht sowohl der Realität in den USA</w:t>
      </w:r>
      <w:r w:rsidRPr="0077324C">
        <w:rPr>
          <w:rStyle w:val="Endnotenzeichen"/>
          <w:rFonts w:cstheme="minorHAnsi"/>
          <w:sz w:val="21"/>
          <w:szCs w:val="21"/>
        </w:rPr>
        <w:endnoteReference w:id="19"/>
      </w:r>
      <w:r w:rsidRPr="0077324C">
        <w:rPr>
          <w:rFonts w:cstheme="minorHAnsi"/>
          <w:sz w:val="21"/>
          <w:szCs w:val="21"/>
        </w:rPr>
        <w:t xml:space="preserve"> als auch dem Szenario in der von ExxonMobil finanzierten „Risikostudie Fracking“</w:t>
      </w:r>
      <w:r w:rsidRPr="0077324C">
        <w:rPr>
          <w:rStyle w:val="Endnotenzeichen"/>
          <w:rFonts w:cstheme="minorHAnsi"/>
          <w:sz w:val="21"/>
          <w:szCs w:val="21"/>
        </w:rPr>
        <w:endnoteReference w:id="20"/>
      </w:r>
      <w:r w:rsidRPr="0077324C">
        <w:rPr>
          <w:rFonts w:cstheme="minorHAnsi"/>
          <w:sz w:val="21"/>
          <w:szCs w:val="21"/>
        </w:rPr>
        <w:t>.</w:t>
      </w:r>
    </w:p>
    <w:p w14:paraId="552D9585" w14:textId="50CDF239" w:rsidR="00197019" w:rsidRPr="0077324C" w:rsidRDefault="00197019" w:rsidP="00A9540B">
      <w:pPr>
        <w:autoSpaceDE w:val="0"/>
        <w:autoSpaceDN w:val="0"/>
        <w:adjustRightInd w:val="0"/>
        <w:spacing w:after="0" w:line="240" w:lineRule="auto"/>
        <w:rPr>
          <w:rFonts w:cstheme="minorHAnsi"/>
          <w:sz w:val="21"/>
          <w:szCs w:val="21"/>
        </w:rPr>
      </w:pPr>
    </w:p>
    <w:p w14:paraId="07D2458F" w14:textId="781D34E0" w:rsidR="00197019" w:rsidRPr="0077324C" w:rsidRDefault="00197019" w:rsidP="00C6307B">
      <w:pPr>
        <w:autoSpaceDE w:val="0"/>
        <w:autoSpaceDN w:val="0"/>
        <w:adjustRightInd w:val="0"/>
        <w:spacing w:after="0" w:line="240" w:lineRule="auto"/>
        <w:jc w:val="center"/>
        <w:rPr>
          <w:rFonts w:cstheme="minorHAnsi"/>
          <w:sz w:val="21"/>
          <w:szCs w:val="21"/>
        </w:rPr>
      </w:pPr>
      <w:r w:rsidRPr="0077324C">
        <w:rPr>
          <w:rFonts w:cstheme="minorHAnsi"/>
          <w:noProof/>
          <w:sz w:val="21"/>
          <w:szCs w:val="21"/>
          <w:lang w:eastAsia="de-DE"/>
        </w:rPr>
        <w:lastRenderedPageBreak/>
        <w:drawing>
          <wp:inline distT="0" distB="0" distL="0" distR="0" wp14:anchorId="3CBBCEB7" wp14:editId="4583A6BE">
            <wp:extent cx="5686425" cy="40395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589" cy="4088722"/>
                    </a:xfrm>
                    <a:prstGeom prst="rect">
                      <a:avLst/>
                    </a:prstGeom>
                    <a:noFill/>
                    <a:ln>
                      <a:noFill/>
                    </a:ln>
                  </pic:spPr>
                </pic:pic>
              </a:graphicData>
            </a:graphic>
          </wp:inline>
        </w:drawing>
      </w:r>
    </w:p>
    <w:p w14:paraId="1382694B" w14:textId="187CDFD5" w:rsidR="00D26305" w:rsidRPr="00E33803" w:rsidRDefault="00D26305" w:rsidP="00A9540B">
      <w:pPr>
        <w:autoSpaceDE w:val="0"/>
        <w:autoSpaceDN w:val="0"/>
        <w:adjustRightInd w:val="0"/>
        <w:spacing w:after="0" w:line="240" w:lineRule="auto"/>
        <w:rPr>
          <w:rFonts w:cstheme="minorHAnsi"/>
          <w:sz w:val="16"/>
          <w:szCs w:val="16"/>
        </w:rPr>
      </w:pPr>
      <w:r w:rsidRPr="00E33803">
        <w:rPr>
          <w:rFonts w:cstheme="minorHAnsi"/>
          <w:sz w:val="16"/>
          <w:szCs w:val="16"/>
        </w:rPr>
        <w:t>Quelle Grafik: Risikostudie Fracking</w:t>
      </w:r>
    </w:p>
    <w:p w14:paraId="09A39AD1" w14:textId="6476EC63" w:rsidR="00D26305" w:rsidRPr="0077324C" w:rsidRDefault="00D26305" w:rsidP="00A9540B">
      <w:pPr>
        <w:autoSpaceDE w:val="0"/>
        <w:autoSpaceDN w:val="0"/>
        <w:adjustRightInd w:val="0"/>
        <w:spacing w:after="0" w:line="240" w:lineRule="auto"/>
        <w:rPr>
          <w:rFonts w:cstheme="minorHAnsi"/>
          <w:sz w:val="21"/>
          <w:szCs w:val="21"/>
        </w:rPr>
      </w:pPr>
    </w:p>
    <w:p w14:paraId="524E09D1" w14:textId="46D476C2" w:rsidR="00D26305" w:rsidRPr="0077324C" w:rsidRDefault="00B968C9" w:rsidP="00D26305">
      <w:pPr>
        <w:spacing w:after="0" w:line="200" w:lineRule="atLeast"/>
        <w:rPr>
          <w:rFonts w:eastAsia="QuayItcT-Blac" w:cstheme="minorHAnsi"/>
          <w:sz w:val="21"/>
          <w:szCs w:val="21"/>
        </w:rPr>
      </w:pPr>
      <w:r>
        <w:rPr>
          <w:rFonts w:cstheme="minorHAnsi"/>
          <w:sz w:val="21"/>
          <w:szCs w:val="21"/>
        </w:rPr>
        <w:t xml:space="preserve">Um uns über den Umfang der notwendigen Industrialisierung im Klaren zu werden, müssen wir vor allem nach Nordamerika schauen. </w:t>
      </w:r>
      <w:r w:rsidR="00D26305" w:rsidRPr="0077324C">
        <w:rPr>
          <w:rFonts w:cstheme="minorHAnsi"/>
          <w:sz w:val="21"/>
          <w:szCs w:val="21"/>
        </w:rPr>
        <w:t xml:space="preserve">Die Umweltorganisation Environment America </w:t>
      </w:r>
      <w:r>
        <w:rPr>
          <w:rFonts w:cstheme="minorHAnsi"/>
          <w:sz w:val="21"/>
          <w:szCs w:val="21"/>
        </w:rPr>
        <w:t>hat errechnet</w:t>
      </w:r>
      <w:r w:rsidR="00D26305" w:rsidRPr="0077324C">
        <w:rPr>
          <w:rFonts w:cstheme="minorHAnsi"/>
          <w:sz w:val="21"/>
          <w:szCs w:val="21"/>
        </w:rPr>
        <w:t>, dass im Zeitraum von 2005 bis 2016 mindestens 137.000 Fracking-Bohrungen in den USA entweder abgeteuft oder genehmigt worden sind. Der Wasserverbrauch für die Fracks betrug im selben Zeitraum mindestens 904 Milliarden Liter Wasser (siehe auch Übersicht 2).</w:t>
      </w:r>
    </w:p>
    <w:p w14:paraId="16DB7ACF" w14:textId="77777777" w:rsidR="00D26305" w:rsidRPr="0077324C" w:rsidRDefault="00D26305" w:rsidP="00D26305">
      <w:pPr>
        <w:spacing w:after="0" w:line="200" w:lineRule="atLeast"/>
        <w:rPr>
          <w:rFonts w:eastAsia="QuayItcT-Blac" w:cstheme="minorHAnsi"/>
          <w:sz w:val="21"/>
          <w:szCs w:val="21"/>
        </w:rPr>
      </w:pPr>
    </w:p>
    <w:p w14:paraId="7D030F8B" w14:textId="6B9B566C" w:rsidR="00D26305" w:rsidRPr="0077324C" w:rsidRDefault="00D26305" w:rsidP="00D26305">
      <w:pPr>
        <w:spacing w:after="0" w:line="200" w:lineRule="atLeast"/>
        <w:rPr>
          <w:rFonts w:eastAsia="QuayItcT-Blac" w:cstheme="minorHAnsi"/>
          <w:sz w:val="21"/>
          <w:szCs w:val="21"/>
        </w:rPr>
      </w:pPr>
      <w:r w:rsidRPr="0077324C">
        <w:rPr>
          <w:rFonts w:eastAsia="QuayItcT-Blac" w:cstheme="minorHAnsi"/>
          <w:sz w:val="21"/>
          <w:szCs w:val="21"/>
        </w:rPr>
        <w:t>Übersicht 2: USA: Fracking in Zahlen</w:t>
      </w:r>
      <w:r w:rsidRPr="0077324C">
        <w:rPr>
          <w:rStyle w:val="Endnotenzeichen"/>
          <w:rFonts w:eastAsia="QuayItcT-Blac" w:cstheme="minorHAnsi"/>
          <w:sz w:val="21"/>
          <w:szCs w:val="21"/>
        </w:rPr>
        <w:endnoteReference w:id="21"/>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6"/>
      </w:tblGrid>
      <w:tr w:rsidR="00D26305" w:rsidRPr="0077324C" w14:paraId="668DD61A" w14:textId="77777777" w:rsidTr="00E0317F">
        <w:tc>
          <w:tcPr>
            <w:tcW w:w="4818" w:type="dxa"/>
            <w:tcBorders>
              <w:top w:val="single" w:sz="1" w:space="0" w:color="000000"/>
              <w:left w:val="single" w:sz="1" w:space="0" w:color="000000"/>
              <w:bottom w:val="single" w:sz="1" w:space="0" w:color="000000"/>
            </w:tcBorders>
            <w:shd w:val="clear" w:color="auto" w:fill="auto"/>
          </w:tcPr>
          <w:p w14:paraId="7978381C" w14:textId="77777777" w:rsidR="00D26305" w:rsidRPr="0077324C" w:rsidRDefault="00D26305" w:rsidP="00E0317F">
            <w:pPr>
              <w:spacing w:after="0" w:line="200" w:lineRule="atLeast"/>
              <w:rPr>
                <w:rFonts w:eastAsia="QuayItcT-Blac" w:cstheme="minorHAnsi"/>
                <w:sz w:val="21"/>
                <w:szCs w:val="21"/>
              </w:rPr>
            </w:pPr>
            <w:r w:rsidRPr="0077324C">
              <w:rPr>
                <w:rFonts w:eastAsia="QuayItcT-Blac" w:cstheme="minorHAnsi"/>
                <w:sz w:val="21"/>
                <w:szCs w:val="21"/>
              </w:rPr>
              <w:t>Fracking-Bohrungen seit 2005</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14:paraId="140D8AAD" w14:textId="77777777" w:rsidR="00D26305" w:rsidRPr="0077324C" w:rsidRDefault="00D26305" w:rsidP="00E0317F">
            <w:pPr>
              <w:spacing w:after="0" w:line="200" w:lineRule="atLeast"/>
              <w:rPr>
                <w:rFonts w:cstheme="minorHAnsi"/>
                <w:sz w:val="21"/>
                <w:szCs w:val="21"/>
              </w:rPr>
            </w:pPr>
            <w:r w:rsidRPr="0077324C">
              <w:rPr>
                <w:rFonts w:eastAsia="QuayItcT-Blac" w:cstheme="minorHAnsi"/>
                <w:sz w:val="21"/>
                <w:szCs w:val="21"/>
              </w:rPr>
              <w:t>Mindestens 137.000 Bohrungen</w:t>
            </w:r>
          </w:p>
        </w:tc>
      </w:tr>
      <w:tr w:rsidR="00D26305" w:rsidRPr="0077324C" w14:paraId="0BDE94C1" w14:textId="77777777" w:rsidTr="00E0317F">
        <w:tc>
          <w:tcPr>
            <w:tcW w:w="4818" w:type="dxa"/>
            <w:tcBorders>
              <w:left w:val="single" w:sz="1" w:space="0" w:color="000000"/>
              <w:bottom w:val="single" w:sz="1" w:space="0" w:color="000000"/>
            </w:tcBorders>
            <w:shd w:val="clear" w:color="auto" w:fill="auto"/>
          </w:tcPr>
          <w:p w14:paraId="6A5B99AE" w14:textId="77777777" w:rsidR="00D26305" w:rsidRPr="0077324C" w:rsidRDefault="00D26305" w:rsidP="00E0317F">
            <w:pPr>
              <w:spacing w:after="0" w:line="200" w:lineRule="atLeast"/>
              <w:rPr>
                <w:rFonts w:eastAsia="QuayItcT-Blac" w:cstheme="minorHAnsi"/>
                <w:sz w:val="21"/>
                <w:szCs w:val="21"/>
              </w:rPr>
            </w:pPr>
            <w:r w:rsidRPr="0077324C">
              <w:rPr>
                <w:rFonts w:eastAsia="QuayItcT-Blac" w:cstheme="minorHAnsi"/>
                <w:sz w:val="21"/>
                <w:szCs w:val="21"/>
              </w:rPr>
              <w:t>Wasserverbrauch seit 2005</w:t>
            </w:r>
          </w:p>
        </w:tc>
        <w:tc>
          <w:tcPr>
            <w:tcW w:w="4826" w:type="dxa"/>
            <w:tcBorders>
              <w:left w:val="single" w:sz="1" w:space="0" w:color="000000"/>
              <w:bottom w:val="single" w:sz="1" w:space="0" w:color="000000"/>
              <w:right w:val="single" w:sz="1" w:space="0" w:color="000000"/>
            </w:tcBorders>
            <w:shd w:val="clear" w:color="auto" w:fill="auto"/>
          </w:tcPr>
          <w:p w14:paraId="57239A2D" w14:textId="77777777" w:rsidR="00D26305" w:rsidRPr="0077324C" w:rsidRDefault="00D26305" w:rsidP="00E0317F">
            <w:pPr>
              <w:spacing w:after="0" w:line="200" w:lineRule="atLeast"/>
              <w:rPr>
                <w:rFonts w:cstheme="minorHAnsi"/>
                <w:sz w:val="21"/>
                <w:szCs w:val="21"/>
              </w:rPr>
            </w:pPr>
            <w:r w:rsidRPr="0077324C">
              <w:rPr>
                <w:rFonts w:eastAsia="QuayItcT-Blac" w:cstheme="minorHAnsi"/>
                <w:sz w:val="21"/>
                <w:szCs w:val="21"/>
              </w:rPr>
              <w:t>Mindestens 904 Milliarden Liter</w:t>
            </w:r>
          </w:p>
        </w:tc>
      </w:tr>
      <w:tr w:rsidR="00D26305" w:rsidRPr="0077324C" w14:paraId="64139B47" w14:textId="77777777" w:rsidTr="00E0317F">
        <w:tc>
          <w:tcPr>
            <w:tcW w:w="4818" w:type="dxa"/>
            <w:tcBorders>
              <w:left w:val="single" w:sz="1" w:space="0" w:color="000000"/>
              <w:bottom w:val="single" w:sz="1" w:space="0" w:color="000000"/>
            </w:tcBorders>
            <w:shd w:val="clear" w:color="auto" w:fill="auto"/>
          </w:tcPr>
          <w:p w14:paraId="74FD72DF" w14:textId="77777777" w:rsidR="00D26305" w:rsidRPr="0077324C" w:rsidRDefault="00D26305" w:rsidP="00E0317F">
            <w:pPr>
              <w:spacing w:after="0" w:line="200" w:lineRule="atLeast"/>
              <w:rPr>
                <w:rFonts w:eastAsia="QuayItcT-Blac" w:cstheme="minorHAnsi"/>
                <w:sz w:val="21"/>
                <w:szCs w:val="21"/>
              </w:rPr>
            </w:pPr>
            <w:r w:rsidRPr="0077324C">
              <w:rPr>
                <w:rFonts w:eastAsia="QuayItcT-Blac" w:cstheme="minorHAnsi"/>
                <w:sz w:val="21"/>
                <w:szCs w:val="21"/>
              </w:rPr>
              <w:t>Toxische Abwässer, die in 2014 produziert wurden</w:t>
            </w:r>
          </w:p>
        </w:tc>
        <w:tc>
          <w:tcPr>
            <w:tcW w:w="4826" w:type="dxa"/>
            <w:tcBorders>
              <w:left w:val="single" w:sz="1" w:space="0" w:color="000000"/>
              <w:bottom w:val="single" w:sz="1" w:space="0" w:color="000000"/>
              <w:right w:val="single" w:sz="1" w:space="0" w:color="000000"/>
            </w:tcBorders>
            <w:shd w:val="clear" w:color="auto" w:fill="auto"/>
          </w:tcPr>
          <w:p w14:paraId="3A2CCF25" w14:textId="77777777" w:rsidR="00D26305" w:rsidRPr="0077324C" w:rsidRDefault="00D26305" w:rsidP="00E0317F">
            <w:pPr>
              <w:spacing w:after="0" w:line="200" w:lineRule="atLeast"/>
              <w:rPr>
                <w:rFonts w:cstheme="minorHAnsi"/>
                <w:sz w:val="21"/>
                <w:szCs w:val="21"/>
              </w:rPr>
            </w:pPr>
            <w:r w:rsidRPr="0077324C">
              <w:rPr>
                <w:rFonts w:eastAsia="QuayItcT-Blac" w:cstheme="minorHAnsi"/>
                <w:sz w:val="21"/>
                <w:szCs w:val="21"/>
              </w:rPr>
              <w:t>Mindestens 53 Milliarden Liter</w:t>
            </w:r>
          </w:p>
        </w:tc>
      </w:tr>
      <w:tr w:rsidR="00D26305" w:rsidRPr="0077324C" w14:paraId="00CBFD1F" w14:textId="77777777" w:rsidTr="00E0317F">
        <w:tc>
          <w:tcPr>
            <w:tcW w:w="4818" w:type="dxa"/>
            <w:tcBorders>
              <w:left w:val="single" w:sz="1" w:space="0" w:color="000000"/>
              <w:bottom w:val="single" w:sz="1" w:space="0" w:color="000000"/>
            </w:tcBorders>
            <w:shd w:val="clear" w:color="auto" w:fill="auto"/>
          </w:tcPr>
          <w:p w14:paraId="5F38CEA7" w14:textId="77777777" w:rsidR="00D26305" w:rsidRPr="0077324C" w:rsidRDefault="00D26305" w:rsidP="00E0317F">
            <w:pPr>
              <w:spacing w:after="0" w:line="200" w:lineRule="atLeast"/>
              <w:rPr>
                <w:rFonts w:eastAsia="QuayItcT-Blac" w:cstheme="minorHAnsi"/>
                <w:sz w:val="21"/>
                <w:szCs w:val="21"/>
              </w:rPr>
            </w:pPr>
            <w:r w:rsidRPr="0077324C">
              <w:rPr>
                <w:rFonts w:eastAsia="QuayItcT-Blac" w:cstheme="minorHAnsi"/>
                <w:sz w:val="21"/>
                <w:szCs w:val="21"/>
              </w:rPr>
              <w:t>Bodenfläche (direkt beschädigt) seit 2005</w:t>
            </w:r>
          </w:p>
        </w:tc>
        <w:tc>
          <w:tcPr>
            <w:tcW w:w="4826" w:type="dxa"/>
            <w:tcBorders>
              <w:left w:val="single" w:sz="1" w:space="0" w:color="000000"/>
              <w:bottom w:val="single" w:sz="1" w:space="0" w:color="000000"/>
              <w:right w:val="single" w:sz="1" w:space="0" w:color="000000"/>
            </w:tcBorders>
            <w:shd w:val="clear" w:color="auto" w:fill="auto"/>
          </w:tcPr>
          <w:p w14:paraId="215CD109" w14:textId="77777777" w:rsidR="00D26305" w:rsidRPr="0077324C" w:rsidRDefault="00D26305" w:rsidP="00E0317F">
            <w:pPr>
              <w:spacing w:after="0" w:line="200" w:lineRule="atLeast"/>
              <w:rPr>
                <w:rFonts w:cstheme="minorHAnsi"/>
                <w:sz w:val="21"/>
                <w:szCs w:val="21"/>
              </w:rPr>
            </w:pPr>
            <w:r w:rsidRPr="0077324C">
              <w:rPr>
                <w:rFonts w:eastAsia="QuayItcT-Blac" w:cstheme="minorHAnsi"/>
                <w:sz w:val="21"/>
                <w:szCs w:val="21"/>
              </w:rPr>
              <w:t>Mindestens 274.000 Hektar</w:t>
            </w:r>
          </w:p>
        </w:tc>
      </w:tr>
    </w:tbl>
    <w:p w14:paraId="2CBA403E" w14:textId="77777777" w:rsidR="00D26305" w:rsidRPr="0077324C" w:rsidRDefault="00D26305" w:rsidP="00D26305">
      <w:pPr>
        <w:spacing w:after="0" w:line="200" w:lineRule="atLeast"/>
        <w:rPr>
          <w:rFonts w:eastAsia="QuayItcT-Blac" w:cstheme="minorHAnsi"/>
          <w:sz w:val="21"/>
          <w:szCs w:val="21"/>
        </w:rPr>
      </w:pPr>
    </w:p>
    <w:p w14:paraId="003F43ED" w14:textId="5A58DF27" w:rsidR="00D26305" w:rsidRPr="0077324C" w:rsidRDefault="00D26305" w:rsidP="00D26305">
      <w:pPr>
        <w:spacing w:after="0" w:line="200" w:lineRule="atLeast"/>
        <w:rPr>
          <w:rFonts w:cstheme="minorHAnsi"/>
          <w:sz w:val="21"/>
          <w:szCs w:val="21"/>
        </w:rPr>
      </w:pPr>
      <w:r w:rsidRPr="0077324C">
        <w:rPr>
          <w:rFonts w:cstheme="minorHAnsi"/>
          <w:sz w:val="21"/>
          <w:szCs w:val="21"/>
        </w:rPr>
        <w:t>Ein Bericht von CERES (einer Non-Profit Organisation, die Investoren zu einem nachhaltigen ökonomischen Handeln bewegen möchte) zeigt zudem auf, dass mehr als 55 Prozent der gefrackten Bohrungen in den USA sich in Regionen befinden, die unter Dürre leiden und rund 36 Prozent der Bohrungen in Gegenden abgeteuft wurden, die mit sinkendem Grundwasserspiegel kämpfen müssen.</w:t>
      </w:r>
      <w:r w:rsidRPr="0077324C">
        <w:rPr>
          <w:rStyle w:val="Endnotenzeichen"/>
          <w:rFonts w:cstheme="minorHAnsi"/>
          <w:sz w:val="21"/>
          <w:szCs w:val="21"/>
        </w:rPr>
        <w:endnoteReference w:id="22"/>
      </w:r>
    </w:p>
    <w:p w14:paraId="161D78F6" w14:textId="77777777" w:rsidR="00D26305" w:rsidRPr="0077324C" w:rsidRDefault="00D26305" w:rsidP="00D26305">
      <w:pPr>
        <w:spacing w:after="0" w:line="200" w:lineRule="atLeast"/>
        <w:rPr>
          <w:rFonts w:cstheme="minorHAnsi"/>
          <w:sz w:val="21"/>
          <w:szCs w:val="21"/>
        </w:rPr>
      </w:pPr>
    </w:p>
    <w:p w14:paraId="67E72FB4" w14:textId="77777777" w:rsidR="00D26305" w:rsidRPr="0077324C" w:rsidRDefault="00D26305" w:rsidP="00D26305">
      <w:pPr>
        <w:spacing w:after="0" w:line="200" w:lineRule="atLeast"/>
        <w:rPr>
          <w:rFonts w:cstheme="minorHAnsi"/>
          <w:sz w:val="21"/>
          <w:szCs w:val="21"/>
        </w:rPr>
      </w:pPr>
      <w:r w:rsidRPr="0077324C">
        <w:rPr>
          <w:rFonts w:cstheme="minorHAnsi"/>
          <w:sz w:val="21"/>
          <w:szCs w:val="21"/>
        </w:rPr>
        <w:t xml:space="preserve">Damit konkurrieren insbesondere Schiefergasressourcen mit der Trinkwasserversorgung für die Bevölkerung bzw. der Beregnung für die Landwirtschaft. </w:t>
      </w:r>
    </w:p>
    <w:p w14:paraId="3AF87357" w14:textId="77777777" w:rsidR="00D26305" w:rsidRPr="0077324C" w:rsidRDefault="00D26305" w:rsidP="00D26305">
      <w:pPr>
        <w:spacing w:after="0" w:line="200" w:lineRule="atLeast"/>
        <w:rPr>
          <w:rFonts w:cstheme="minorHAnsi"/>
          <w:sz w:val="21"/>
          <w:szCs w:val="21"/>
        </w:rPr>
      </w:pPr>
    </w:p>
    <w:p w14:paraId="60A86247" w14:textId="77777777" w:rsidR="00316807" w:rsidRDefault="00B968C9" w:rsidP="00D26305">
      <w:pPr>
        <w:spacing w:after="0" w:line="200" w:lineRule="atLeast"/>
        <w:rPr>
          <w:rFonts w:cstheme="minorHAnsi"/>
          <w:sz w:val="21"/>
          <w:szCs w:val="21"/>
        </w:rPr>
      </w:pPr>
      <w:r>
        <w:rPr>
          <w:rFonts w:cstheme="minorHAnsi"/>
          <w:sz w:val="21"/>
          <w:szCs w:val="21"/>
        </w:rPr>
        <w:t>Dies gilt a</w:t>
      </w:r>
      <w:r w:rsidR="00D26305" w:rsidRPr="0077324C">
        <w:rPr>
          <w:rFonts w:cstheme="minorHAnsi"/>
          <w:sz w:val="21"/>
          <w:szCs w:val="21"/>
        </w:rPr>
        <w:t xml:space="preserve">uch im globalen Maßstab: So liegen die vermutlich technisch förderbaren Kohlenwasserstoffe </w:t>
      </w:r>
      <w:r w:rsidR="007F5773">
        <w:rPr>
          <w:rFonts w:cstheme="minorHAnsi"/>
          <w:sz w:val="21"/>
          <w:szCs w:val="21"/>
        </w:rPr>
        <w:t xml:space="preserve">oft </w:t>
      </w:r>
      <w:r w:rsidR="00D26305" w:rsidRPr="0077324C">
        <w:rPr>
          <w:rFonts w:cstheme="minorHAnsi"/>
          <w:sz w:val="21"/>
          <w:szCs w:val="21"/>
        </w:rPr>
        <w:t xml:space="preserve">entweder unterhalb wichtiger grenzübergreifender und großflächiger Grundwasser-Reserven (z. B. </w:t>
      </w:r>
    </w:p>
    <w:p w14:paraId="7CFDE91B" w14:textId="77777777" w:rsidR="00316807" w:rsidRDefault="00316807" w:rsidP="00D26305">
      <w:pPr>
        <w:spacing w:after="0" w:line="200" w:lineRule="atLeast"/>
        <w:rPr>
          <w:rFonts w:cstheme="minorHAnsi"/>
          <w:sz w:val="21"/>
          <w:szCs w:val="21"/>
        </w:rPr>
      </w:pPr>
    </w:p>
    <w:p w14:paraId="25901939" w14:textId="77777777" w:rsidR="00316807" w:rsidRDefault="00316807" w:rsidP="00D26305">
      <w:pPr>
        <w:spacing w:after="0" w:line="200" w:lineRule="atLeast"/>
        <w:rPr>
          <w:rFonts w:cstheme="minorHAnsi"/>
          <w:sz w:val="21"/>
          <w:szCs w:val="21"/>
        </w:rPr>
      </w:pPr>
    </w:p>
    <w:p w14:paraId="5075FD00" w14:textId="1802269D" w:rsidR="00D26305" w:rsidRPr="0077324C" w:rsidRDefault="00D26305" w:rsidP="00D26305">
      <w:pPr>
        <w:spacing w:after="0" w:line="200" w:lineRule="atLeast"/>
        <w:rPr>
          <w:rFonts w:cstheme="minorHAnsi"/>
          <w:sz w:val="21"/>
          <w:szCs w:val="21"/>
        </w:rPr>
      </w:pPr>
      <w:r w:rsidRPr="0077324C">
        <w:rPr>
          <w:rFonts w:cstheme="minorHAnsi"/>
          <w:sz w:val="21"/>
          <w:szCs w:val="21"/>
        </w:rPr>
        <w:t>Guarani Aquifer in Südamerika, Continental Intercalaire Aquifer in Nord-Afrika oder Karoo Aquifer in Südafrika) oder sie befinden sich weltweit zu einem Anteil von 38 Prozent in Regionen mit hohem Wasserstress und zu einem Anteil von 15 Prozent in Dürre-Regionen.</w:t>
      </w:r>
      <w:r w:rsidRPr="0077324C">
        <w:rPr>
          <w:rStyle w:val="Endnotenzeichen"/>
          <w:rFonts w:cstheme="minorHAnsi"/>
          <w:sz w:val="21"/>
          <w:szCs w:val="21"/>
        </w:rPr>
        <w:endnoteReference w:id="23"/>
      </w:r>
    </w:p>
    <w:p w14:paraId="65886099" w14:textId="77777777" w:rsidR="00D26305" w:rsidRPr="0077324C" w:rsidRDefault="00D26305" w:rsidP="00D26305">
      <w:pPr>
        <w:spacing w:after="0" w:line="200" w:lineRule="atLeast"/>
        <w:rPr>
          <w:rFonts w:cstheme="minorHAnsi"/>
          <w:sz w:val="21"/>
          <w:szCs w:val="21"/>
        </w:rPr>
      </w:pPr>
    </w:p>
    <w:p w14:paraId="03B62464" w14:textId="37136153" w:rsidR="00D26305" w:rsidRPr="0077324C" w:rsidRDefault="00D26305" w:rsidP="00D26305">
      <w:pPr>
        <w:spacing w:after="0" w:line="200" w:lineRule="atLeast"/>
        <w:rPr>
          <w:rFonts w:eastAsia="Calibri" w:cstheme="minorHAnsi"/>
          <w:color w:val="000000"/>
          <w:sz w:val="21"/>
          <w:szCs w:val="21"/>
        </w:rPr>
      </w:pPr>
      <w:r w:rsidRPr="0077324C">
        <w:rPr>
          <w:rFonts w:cstheme="minorHAnsi"/>
          <w:sz w:val="21"/>
          <w:szCs w:val="21"/>
        </w:rPr>
        <w:t>Dabei benötigen die gasfördernden Unternehmen einer Analyse von Baker &amp; MacKenzie</w:t>
      </w:r>
      <w:r w:rsidRPr="0077324C">
        <w:rPr>
          <w:rStyle w:val="Endnotenzeichen"/>
          <w:rFonts w:cstheme="minorHAnsi"/>
          <w:sz w:val="21"/>
          <w:szCs w:val="21"/>
        </w:rPr>
        <w:endnoteReference w:id="24"/>
      </w:r>
      <w:r w:rsidRPr="0077324C">
        <w:rPr>
          <w:rFonts w:cstheme="minorHAnsi"/>
          <w:sz w:val="21"/>
          <w:szCs w:val="21"/>
        </w:rPr>
        <w:t xml:space="preserve"> zufolge nicht nur für die durchschnittlich avisierte Projektlaufzeit von dreißig bis fünfzig Jahre ausreichenden Zugang zu Millionen Liter Frischwasser sondern auch garantiert niedrige Wasserpreise. Der Analyse des World Ressources Institute</w:t>
      </w:r>
      <w:r w:rsidR="009F45E2" w:rsidRPr="0077324C">
        <w:rPr>
          <w:rStyle w:val="Endnotenzeichen"/>
          <w:rFonts w:cstheme="minorHAnsi"/>
          <w:sz w:val="21"/>
          <w:szCs w:val="21"/>
        </w:rPr>
        <w:endnoteReference w:id="25"/>
      </w:r>
      <w:r w:rsidRPr="0077324C">
        <w:rPr>
          <w:rFonts w:cstheme="minorHAnsi"/>
          <w:sz w:val="21"/>
          <w:szCs w:val="21"/>
        </w:rPr>
        <w:t xml:space="preserve"> zufolge leben 386 Millionen Menschen auf Land oberhalb der unterirdischen Schieferlagerstätten. </w:t>
      </w:r>
      <w:r w:rsidRPr="0077324C">
        <w:rPr>
          <w:rFonts w:eastAsia="Calibri" w:cstheme="minorHAnsi"/>
          <w:color w:val="000000"/>
          <w:sz w:val="21"/>
          <w:szCs w:val="21"/>
        </w:rPr>
        <w:t>Es wird somit zunehmend zu offenen Konflikten zwischen der Bevölkerung und der Öl- und Gasindustrie in der Frage der Wasserverwendung kommen.</w:t>
      </w:r>
    </w:p>
    <w:p w14:paraId="7D897F7F" w14:textId="1EED1CE1" w:rsidR="009F45E2" w:rsidRPr="0077324C" w:rsidRDefault="009F45E2" w:rsidP="00D26305">
      <w:pPr>
        <w:spacing w:after="0" w:line="200" w:lineRule="atLeast"/>
        <w:rPr>
          <w:rFonts w:eastAsia="Calibri" w:cstheme="minorHAnsi"/>
          <w:color w:val="000000"/>
          <w:sz w:val="21"/>
          <w:szCs w:val="21"/>
        </w:rPr>
      </w:pPr>
    </w:p>
    <w:p w14:paraId="1CE3BA07" w14:textId="77777777" w:rsidR="009F45E2" w:rsidRPr="0077324C" w:rsidRDefault="009F45E2" w:rsidP="009F45E2">
      <w:pPr>
        <w:autoSpaceDE w:val="0"/>
        <w:autoSpaceDN w:val="0"/>
        <w:adjustRightInd w:val="0"/>
        <w:spacing w:after="0" w:line="240" w:lineRule="auto"/>
        <w:rPr>
          <w:rFonts w:cstheme="minorHAnsi"/>
          <w:sz w:val="21"/>
          <w:szCs w:val="21"/>
        </w:rPr>
      </w:pPr>
      <w:r w:rsidRPr="0077324C">
        <w:rPr>
          <w:rFonts w:cstheme="minorHAnsi"/>
          <w:sz w:val="21"/>
          <w:szCs w:val="21"/>
        </w:rPr>
        <w:t>Wie Sie wissen, ist die der Allgemeinheit dienende Wasserversorgung eine Aufgabe der Daseinsvorsorge. Dabei ist der Wasserbedarf der öffentlichen Wasserversorgung vorrangig aus ortsnahen Wasservorkommen zu decken.</w:t>
      </w:r>
    </w:p>
    <w:p w14:paraId="676468F2" w14:textId="77777777" w:rsidR="009F45E2" w:rsidRPr="0077324C" w:rsidRDefault="009F45E2" w:rsidP="009F45E2">
      <w:pPr>
        <w:autoSpaceDE w:val="0"/>
        <w:autoSpaceDN w:val="0"/>
        <w:adjustRightInd w:val="0"/>
        <w:spacing w:after="0" w:line="240" w:lineRule="auto"/>
        <w:rPr>
          <w:rFonts w:cstheme="minorHAnsi"/>
          <w:sz w:val="21"/>
          <w:szCs w:val="21"/>
        </w:rPr>
      </w:pPr>
    </w:p>
    <w:p w14:paraId="121AF3EB" w14:textId="77777777" w:rsidR="009F45E2" w:rsidRPr="0077324C" w:rsidRDefault="009F45E2" w:rsidP="009F45E2">
      <w:pPr>
        <w:autoSpaceDE w:val="0"/>
        <w:autoSpaceDN w:val="0"/>
        <w:adjustRightInd w:val="0"/>
        <w:spacing w:after="0" w:line="240" w:lineRule="auto"/>
        <w:rPr>
          <w:rFonts w:cstheme="minorHAnsi"/>
          <w:sz w:val="21"/>
          <w:szCs w:val="21"/>
        </w:rPr>
      </w:pPr>
      <w:r w:rsidRPr="0077324C">
        <w:rPr>
          <w:rFonts w:cstheme="minorHAnsi"/>
          <w:sz w:val="21"/>
          <w:szCs w:val="21"/>
        </w:rPr>
        <w:t>Schädliche Veränderungen von Gewässereigenschaften, die das Wohl der Allgemeinheit, insbesondere die öffentliche Wasserversorgung, beeinträchtigen, sind zu unterlassen und müssen verhindert werden. Eine Erlaubnis für das Einbringen und Einleiten von Stoffen in das Grundwasser darf nur erteilt werden, wenn eine nachteilige Veränderung der Wasserbeschaffenheit nicht zu besorgen ist.</w:t>
      </w:r>
    </w:p>
    <w:p w14:paraId="2F0C3658" w14:textId="77777777" w:rsidR="009F45E2" w:rsidRPr="0077324C" w:rsidRDefault="009F45E2" w:rsidP="009F45E2">
      <w:pPr>
        <w:autoSpaceDE w:val="0"/>
        <w:autoSpaceDN w:val="0"/>
        <w:adjustRightInd w:val="0"/>
        <w:spacing w:after="0" w:line="240" w:lineRule="auto"/>
        <w:rPr>
          <w:rFonts w:cstheme="minorHAnsi"/>
          <w:sz w:val="21"/>
          <w:szCs w:val="21"/>
        </w:rPr>
      </w:pPr>
    </w:p>
    <w:p w14:paraId="028D9BC0" w14:textId="5606D89B" w:rsidR="009F45E2" w:rsidRPr="0077324C" w:rsidRDefault="009F45E2" w:rsidP="009F45E2">
      <w:pPr>
        <w:autoSpaceDE w:val="0"/>
        <w:autoSpaceDN w:val="0"/>
        <w:adjustRightInd w:val="0"/>
        <w:spacing w:after="0" w:line="240" w:lineRule="auto"/>
        <w:rPr>
          <w:rFonts w:cstheme="minorHAnsi"/>
          <w:sz w:val="21"/>
          <w:szCs w:val="21"/>
        </w:rPr>
      </w:pPr>
      <w:r w:rsidRPr="0077324C">
        <w:rPr>
          <w:rFonts w:cstheme="minorHAnsi"/>
          <w:sz w:val="21"/>
          <w:szCs w:val="21"/>
        </w:rPr>
        <w:t xml:space="preserve">Schädliche Veränderungen von Gewässereigenschaften – insbesondere in Vorrang- und Vorbehaltsgebieten für die Trinkwassergewinnung - sind aber bei der Aufsuchung und Gewinnung von Kohlenwasserstoffen (nebst den an die Oberfläche mitgeförderten toxischen Förderabfällen wie Lagerstättenwasser, Flowback und Bohrschlämme) systembedingt immer zu besorgen. </w:t>
      </w:r>
      <w:r w:rsidR="009D12CE">
        <w:rPr>
          <w:rFonts w:cstheme="minorHAnsi"/>
          <w:sz w:val="21"/>
          <w:szCs w:val="21"/>
        </w:rPr>
        <w:t>Diese bereits bestehende Problematik würde durch den notwendigen flächendeckenden Einsatz der Fracking-Technik verschärft.</w:t>
      </w:r>
    </w:p>
    <w:p w14:paraId="68BF8059" w14:textId="77777777" w:rsidR="00652201" w:rsidRPr="0077324C" w:rsidRDefault="00652201" w:rsidP="00A9540B">
      <w:pPr>
        <w:autoSpaceDE w:val="0"/>
        <w:autoSpaceDN w:val="0"/>
        <w:adjustRightInd w:val="0"/>
        <w:spacing w:after="0" w:line="240" w:lineRule="auto"/>
        <w:rPr>
          <w:rFonts w:cstheme="minorHAnsi"/>
          <w:sz w:val="21"/>
          <w:szCs w:val="21"/>
        </w:rPr>
      </w:pPr>
    </w:p>
    <w:p w14:paraId="0BEF5B32" w14:textId="36083A54" w:rsidR="00A9540B" w:rsidRPr="0077324C" w:rsidRDefault="00A9540B" w:rsidP="00A9540B">
      <w:pPr>
        <w:autoSpaceDE w:val="0"/>
        <w:autoSpaceDN w:val="0"/>
        <w:adjustRightInd w:val="0"/>
        <w:spacing w:after="0" w:line="240" w:lineRule="auto"/>
        <w:rPr>
          <w:rFonts w:cstheme="minorHAnsi"/>
          <w:b/>
          <w:bCs/>
          <w:sz w:val="21"/>
          <w:szCs w:val="21"/>
        </w:rPr>
      </w:pPr>
      <w:r w:rsidRPr="009D12CE">
        <w:rPr>
          <w:rFonts w:cstheme="minorHAnsi"/>
          <w:sz w:val="21"/>
          <w:szCs w:val="21"/>
        </w:rPr>
        <w:t>Fazit:</w:t>
      </w:r>
      <w:r w:rsidRPr="0077324C">
        <w:rPr>
          <w:rFonts w:cstheme="minorHAnsi"/>
          <w:b/>
          <w:bCs/>
          <w:sz w:val="21"/>
          <w:szCs w:val="21"/>
        </w:rPr>
        <w:t xml:space="preserve"> Der Einsatz der Fracking-Technik ist konträr zum Ziel einer nachhaltigen Raumordnung und – gerade wegen der signifikanten flächendeckenden Industrialisierung ehemaliger ländlicher Räume – nicht mit den Vorgaben und Erfordernissen des Klimas-, Natur- und Wasserschutzes und der kommunalen Daseinsvorsorge vereinbar.</w:t>
      </w:r>
    </w:p>
    <w:p w14:paraId="6689C77C" w14:textId="48100D80" w:rsidR="0077324C" w:rsidRDefault="0077324C" w:rsidP="00A9540B">
      <w:pPr>
        <w:autoSpaceDE w:val="0"/>
        <w:autoSpaceDN w:val="0"/>
        <w:adjustRightInd w:val="0"/>
        <w:spacing w:after="0" w:line="240" w:lineRule="auto"/>
        <w:rPr>
          <w:rFonts w:cstheme="minorHAnsi"/>
          <w:sz w:val="21"/>
          <w:szCs w:val="21"/>
        </w:rPr>
      </w:pPr>
    </w:p>
    <w:p w14:paraId="2AE2CA42" w14:textId="77777777" w:rsidR="001B57D7" w:rsidRPr="0077324C" w:rsidRDefault="001B57D7" w:rsidP="00A9540B">
      <w:pPr>
        <w:autoSpaceDE w:val="0"/>
        <w:autoSpaceDN w:val="0"/>
        <w:adjustRightInd w:val="0"/>
        <w:spacing w:after="0" w:line="240" w:lineRule="auto"/>
        <w:rPr>
          <w:rFonts w:cstheme="minorHAnsi"/>
          <w:sz w:val="21"/>
          <w:szCs w:val="21"/>
        </w:rPr>
      </w:pPr>
    </w:p>
    <w:p w14:paraId="632F04CB" w14:textId="69FDBA2D" w:rsidR="00733B0F" w:rsidRPr="0077324C" w:rsidRDefault="00733B0F" w:rsidP="00AA20ED">
      <w:pPr>
        <w:pStyle w:val="Listenabsatz"/>
        <w:numPr>
          <w:ilvl w:val="0"/>
          <w:numId w:val="11"/>
        </w:numPr>
        <w:autoSpaceDE w:val="0"/>
        <w:autoSpaceDN w:val="0"/>
        <w:adjustRightInd w:val="0"/>
        <w:spacing w:after="0" w:line="240" w:lineRule="auto"/>
        <w:rPr>
          <w:rFonts w:cstheme="minorHAnsi"/>
          <w:b/>
          <w:bCs/>
          <w:sz w:val="21"/>
          <w:szCs w:val="21"/>
        </w:rPr>
      </w:pPr>
      <w:r w:rsidRPr="0077324C">
        <w:rPr>
          <w:rFonts w:cstheme="minorHAnsi"/>
          <w:b/>
          <w:bCs/>
          <w:sz w:val="21"/>
          <w:szCs w:val="21"/>
        </w:rPr>
        <w:t xml:space="preserve"> </w:t>
      </w:r>
      <w:r w:rsidR="00706C4B" w:rsidRPr="0077324C">
        <w:rPr>
          <w:rFonts w:cstheme="minorHAnsi"/>
          <w:b/>
          <w:bCs/>
          <w:sz w:val="21"/>
          <w:szCs w:val="21"/>
        </w:rPr>
        <w:t>Urteil des Permane</w:t>
      </w:r>
      <w:r w:rsidR="002F330B">
        <w:rPr>
          <w:rFonts w:cstheme="minorHAnsi"/>
          <w:b/>
          <w:bCs/>
          <w:sz w:val="21"/>
          <w:szCs w:val="21"/>
        </w:rPr>
        <w:t>n</w:t>
      </w:r>
      <w:r w:rsidR="00706C4B" w:rsidRPr="0077324C">
        <w:rPr>
          <w:rFonts w:cstheme="minorHAnsi"/>
          <w:b/>
          <w:bCs/>
          <w:sz w:val="21"/>
          <w:szCs w:val="21"/>
        </w:rPr>
        <w:t>ten Völkertribunals und Berichte des UN-Ausschusses gegen Frauendiskrimierung sowie des UN</w:t>
      </w:r>
      <w:r w:rsidR="00706C4B" w:rsidRPr="0077324C">
        <w:rPr>
          <w:rFonts w:cstheme="minorHAnsi"/>
          <w:b/>
          <w:bCs/>
          <w:sz w:val="21"/>
          <w:szCs w:val="21"/>
        </w:rPr>
        <w:noBreakHyphen/>
        <w:t>Ausschuss</w:t>
      </w:r>
      <w:r w:rsidR="00D65DFA">
        <w:rPr>
          <w:rFonts w:cstheme="minorHAnsi"/>
          <w:b/>
          <w:bCs/>
          <w:sz w:val="21"/>
          <w:szCs w:val="21"/>
        </w:rPr>
        <w:t>es</w:t>
      </w:r>
      <w:r w:rsidR="00706C4B" w:rsidRPr="0077324C">
        <w:rPr>
          <w:rFonts w:cstheme="minorHAnsi"/>
          <w:b/>
          <w:bCs/>
          <w:sz w:val="21"/>
          <w:szCs w:val="21"/>
        </w:rPr>
        <w:t xml:space="preserve"> für wirtschaftliche, soziale und kulturelle Rechte müssen beachtet und dem Bundestag bekannt gegeben werden</w:t>
      </w:r>
    </w:p>
    <w:p w14:paraId="2122A098" w14:textId="092A94EB" w:rsidR="00733B0F" w:rsidRPr="0077324C" w:rsidRDefault="00733B0F" w:rsidP="00E90164">
      <w:pPr>
        <w:autoSpaceDE w:val="0"/>
        <w:autoSpaceDN w:val="0"/>
        <w:adjustRightInd w:val="0"/>
        <w:spacing w:after="0" w:line="240" w:lineRule="auto"/>
        <w:rPr>
          <w:rFonts w:cstheme="minorHAnsi"/>
          <w:sz w:val="21"/>
          <w:szCs w:val="21"/>
        </w:rPr>
      </w:pPr>
    </w:p>
    <w:p w14:paraId="419FBBCF" w14:textId="27E5E35B" w:rsidR="0077324C" w:rsidRDefault="00B33F63" w:rsidP="00E90164">
      <w:pPr>
        <w:autoSpaceDE w:val="0"/>
        <w:autoSpaceDN w:val="0"/>
        <w:adjustRightInd w:val="0"/>
        <w:spacing w:after="0" w:line="240" w:lineRule="auto"/>
        <w:rPr>
          <w:rFonts w:cstheme="minorHAnsi"/>
          <w:sz w:val="21"/>
          <w:szCs w:val="21"/>
        </w:rPr>
      </w:pPr>
      <w:r>
        <w:rPr>
          <w:rFonts w:cstheme="minorHAnsi"/>
          <w:sz w:val="21"/>
          <w:szCs w:val="21"/>
        </w:rPr>
        <w:t xml:space="preserve">Nach über vierjähriger Untersuchung (mit entsprechender Beweismittelführung, Anhörungen von Experten und Betroffenen und Zwischentribunalen) kamen die Richter des Permanenten Völkertribunals zu Fracking, Menschenrechten und Klimawandel </w:t>
      </w:r>
      <w:r w:rsidR="00D65DFA">
        <w:rPr>
          <w:rFonts w:cstheme="minorHAnsi"/>
          <w:sz w:val="21"/>
          <w:szCs w:val="21"/>
        </w:rPr>
        <w:t xml:space="preserve">in 2019 </w:t>
      </w:r>
      <w:r>
        <w:rPr>
          <w:rFonts w:cstheme="minorHAnsi"/>
          <w:sz w:val="21"/>
          <w:szCs w:val="21"/>
        </w:rPr>
        <w:t>zu einer abschließenden Beurteilung.</w:t>
      </w:r>
    </w:p>
    <w:p w14:paraId="6CD83713" w14:textId="1272F2F9" w:rsidR="00B33F63" w:rsidRDefault="00B33F63" w:rsidP="00E90164">
      <w:pPr>
        <w:autoSpaceDE w:val="0"/>
        <w:autoSpaceDN w:val="0"/>
        <w:adjustRightInd w:val="0"/>
        <w:spacing w:after="0" w:line="240" w:lineRule="auto"/>
        <w:rPr>
          <w:rFonts w:cstheme="minorHAnsi"/>
          <w:sz w:val="21"/>
          <w:szCs w:val="21"/>
        </w:rPr>
      </w:pPr>
    </w:p>
    <w:p w14:paraId="33A0B2C6" w14:textId="7F66BA57" w:rsidR="00216BA5" w:rsidRDefault="00B33F63" w:rsidP="00887303">
      <w:pPr>
        <w:spacing w:after="0" w:line="240" w:lineRule="auto"/>
      </w:pPr>
      <w:r>
        <w:t>In der vorläufigen Erklärung der Richter heißt es: „</w:t>
      </w:r>
      <w:r w:rsidRPr="00216BA5">
        <w:rPr>
          <w:i/>
          <w:iCs/>
        </w:rPr>
        <w:t>Die Beweise zeigen deutlich, dass die Fracking-Prozesse erheblich zu anthropogenen Schäden, einschließlich des Klimawandels und der globalen Erwärmung, beitragen und mit massiven Verstöße gegen eine Reihe von … Menschenrecht</w:t>
      </w:r>
      <w:r w:rsidR="00733E7B">
        <w:rPr>
          <w:i/>
          <w:iCs/>
        </w:rPr>
        <w:t>e</w:t>
      </w:r>
      <w:r w:rsidRPr="00216BA5">
        <w:rPr>
          <w:i/>
          <w:iCs/>
        </w:rPr>
        <w:t>n einhergehen. … Die Beweise zeigen auch, dass die Regierungen im Allgemeinen ihrer Verantwortung nicht nachgekommen sind die Industrie zu regulieren, um Menschen, Gemeinschaften und die Natur zu schützen. Darüber hinaus haben sie es versäumt, schnell und effektiv auf die Gefahren des Klimawandels im Zusammenhang mit Fracking zu reagieren</w:t>
      </w:r>
      <w:r>
        <w:t>.“</w:t>
      </w:r>
      <w:r w:rsidR="00216BA5">
        <w:rPr>
          <w:rStyle w:val="Endnotenzeichen"/>
        </w:rPr>
        <w:endnoteReference w:id="26"/>
      </w:r>
      <w:r>
        <w:t xml:space="preserve"> </w:t>
      </w:r>
    </w:p>
    <w:p w14:paraId="14998AF4" w14:textId="77777777" w:rsidR="00887303" w:rsidRDefault="00887303" w:rsidP="00887303">
      <w:pPr>
        <w:spacing w:after="0" w:line="240" w:lineRule="auto"/>
      </w:pPr>
    </w:p>
    <w:p w14:paraId="2BEA5D68" w14:textId="77777777" w:rsidR="00F15EE3" w:rsidRDefault="00F15EE3" w:rsidP="00887303">
      <w:pPr>
        <w:spacing w:after="0" w:line="240" w:lineRule="auto"/>
      </w:pPr>
    </w:p>
    <w:p w14:paraId="512D6AAF" w14:textId="5DF57084" w:rsidR="00B33F63" w:rsidRDefault="00B33F63" w:rsidP="00887303">
      <w:pPr>
        <w:spacing w:after="0" w:line="240" w:lineRule="auto"/>
      </w:pPr>
      <w:r>
        <w:t xml:space="preserve">In der abschließenden Stellungnahme </w:t>
      </w:r>
      <w:r w:rsidR="00216BA5">
        <w:t xml:space="preserve">empfehlen die Richter </w:t>
      </w:r>
      <w:r>
        <w:t>„</w:t>
      </w:r>
      <w:r w:rsidRPr="00887303">
        <w:rPr>
          <w:i/>
          <w:iCs/>
        </w:rPr>
        <w:t>Fracking zu verbieten</w:t>
      </w:r>
      <w:r>
        <w:t>“ und „</w:t>
      </w:r>
      <w:r w:rsidRPr="00887303">
        <w:rPr>
          <w:i/>
          <w:iCs/>
        </w:rPr>
        <w:t xml:space="preserve">den </w:t>
      </w:r>
      <w:r w:rsidR="000E5E7B">
        <w:rPr>
          <w:i/>
          <w:iCs/>
        </w:rPr>
        <w:t>UN-</w:t>
      </w:r>
      <w:r w:rsidRPr="00887303">
        <w:rPr>
          <w:i/>
          <w:iCs/>
        </w:rPr>
        <w:t>Sonderberichterstatter für Menschenrechte und Umwelt zu bitten, die Verletzungen der Rechte von Mensch und Natur durch die unkonventionelle Öl- und Gasförderindustrie zu untersuchen</w:t>
      </w:r>
      <w:r>
        <w:t>“.</w:t>
      </w:r>
      <w:r w:rsidR="00887303">
        <w:rPr>
          <w:rStyle w:val="Endnotenzeichen"/>
        </w:rPr>
        <w:endnoteReference w:id="27"/>
      </w:r>
    </w:p>
    <w:p w14:paraId="5EDFF7AC" w14:textId="77777777" w:rsidR="00B33F63" w:rsidRDefault="00B33F63" w:rsidP="00E90164">
      <w:pPr>
        <w:autoSpaceDE w:val="0"/>
        <w:autoSpaceDN w:val="0"/>
        <w:adjustRightInd w:val="0"/>
        <w:spacing w:after="0" w:line="240" w:lineRule="auto"/>
        <w:rPr>
          <w:rFonts w:cstheme="minorHAnsi"/>
          <w:sz w:val="21"/>
          <w:szCs w:val="21"/>
        </w:rPr>
      </w:pPr>
    </w:p>
    <w:p w14:paraId="22C19EC3" w14:textId="57A6DE52" w:rsidR="000E5E7B" w:rsidRDefault="000E5E7B" w:rsidP="00E90164">
      <w:pPr>
        <w:autoSpaceDE w:val="0"/>
        <w:autoSpaceDN w:val="0"/>
        <w:adjustRightInd w:val="0"/>
        <w:spacing w:after="0" w:line="240" w:lineRule="auto"/>
      </w:pPr>
      <w:r>
        <w:rPr>
          <w:rFonts w:cstheme="minorHAnsi"/>
          <w:sz w:val="21"/>
          <w:szCs w:val="21"/>
        </w:rPr>
        <w:t xml:space="preserve">Die Erkenntnisse über die negativen Auswirkungen von Fracking wird auch von anderen internationalen Institutionen geteilt. </w:t>
      </w:r>
      <w:r>
        <w:t>Im Oktober 2018 gab der UN Ausschuss für wirtschaftliche, soziale und kulturelle Rechte (CESR) eine offizielle Warnung bezüglich des Fracking von Schiefergas in Argentinien heraus. Im Abschlussbericht heißt es</w:t>
      </w:r>
      <w:r>
        <w:rPr>
          <w:rStyle w:val="Endnotenzeichen"/>
        </w:rPr>
        <w:endnoteReference w:id="28"/>
      </w:r>
      <w:r>
        <w:t>: „</w:t>
      </w:r>
      <w:r w:rsidRPr="00E94C8B">
        <w:rPr>
          <w:i/>
          <w:iCs/>
        </w:rPr>
        <w:t>Der Ausschuss ist besorgt darüber, dass das Hydraulic Fracturing-Projekt den Verpflichtungen des Vertragsstaats zum Pariser Abkommen widerspricht</w:t>
      </w:r>
      <w:r w:rsidR="00E94C8B" w:rsidRPr="00E94C8B">
        <w:rPr>
          <w:i/>
          <w:iCs/>
        </w:rPr>
        <w:t xml:space="preserve"> – mit negativen</w:t>
      </w:r>
      <w:r w:rsidRPr="00E94C8B">
        <w:rPr>
          <w:i/>
          <w:iCs/>
        </w:rPr>
        <w:t xml:space="preserve"> Auswirkungen auf die globale Erwärmung und d</w:t>
      </w:r>
      <w:r w:rsidR="00E94C8B" w:rsidRPr="00E94C8B">
        <w:rPr>
          <w:i/>
          <w:iCs/>
        </w:rPr>
        <w:t xml:space="preserve">ie </w:t>
      </w:r>
      <w:r w:rsidRPr="00E94C8B">
        <w:rPr>
          <w:i/>
          <w:iCs/>
        </w:rPr>
        <w:t>wirtschaftlichen und sozialen Rechte der Weltbevölkerung und künftiger Generationen</w:t>
      </w:r>
      <w:r>
        <w:t xml:space="preserve">“. </w:t>
      </w:r>
    </w:p>
    <w:p w14:paraId="5048DC1F" w14:textId="77777777" w:rsidR="000E5E7B" w:rsidRDefault="000E5E7B" w:rsidP="00E90164">
      <w:pPr>
        <w:autoSpaceDE w:val="0"/>
        <w:autoSpaceDN w:val="0"/>
        <w:adjustRightInd w:val="0"/>
        <w:spacing w:after="0" w:line="240" w:lineRule="auto"/>
      </w:pPr>
    </w:p>
    <w:p w14:paraId="1C5C4C18" w14:textId="386F44C7" w:rsidR="00A210B9" w:rsidRDefault="000E5E7B" w:rsidP="005E0D91">
      <w:pPr>
        <w:autoSpaceDE w:val="0"/>
        <w:autoSpaceDN w:val="0"/>
        <w:adjustRightInd w:val="0"/>
        <w:spacing w:after="0" w:line="240" w:lineRule="auto"/>
        <w:rPr>
          <w:rFonts w:cstheme="minorHAnsi"/>
          <w:sz w:val="21"/>
          <w:szCs w:val="21"/>
        </w:rPr>
      </w:pPr>
      <w:r>
        <w:t xml:space="preserve">Im März 2019 forderte der Ausschuss der Vereinten Nationen zur Beseitigung der Diskriminierung der Frau (CEDAW) die britische Regierung auf,„ </w:t>
      </w:r>
      <w:r w:rsidRPr="00E94C8B">
        <w:rPr>
          <w:i/>
          <w:iCs/>
        </w:rPr>
        <w:t>die Einführung eines umfassenden und vollständigen Verbots von Fracking in Betracht zu ziehen</w:t>
      </w:r>
      <w:r w:rsidR="00E94C8B">
        <w:t>“</w:t>
      </w:r>
      <w:r w:rsidR="00E94C8B">
        <w:rPr>
          <w:rStyle w:val="Endnotenzeichen"/>
        </w:rPr>
        <w:endnoteReference w:id="29"/>
      </w:r>
      <w:r w:rsidR="00E94C8B">
        <w:t xml:space="preserve"> um insbesondere Frauenrechte im ländlichen England zu schützen.</w:t>
      </w:r>
    </w:p>
    <w:p w14:paraId="1FAE68FA" w14:textId="00FDFAC4" w:rsidR="005E0D91" w:rsidRDefault="005E0D91" w:rsidP="005E0D91">
      <w:pPr>
        <w:autoSpaceDE w:val="0"/>
        <w:autoSpaceDN w:val="0"/>
        <w:adjustRightInd w:val="0"/>
        <w:spacing w:after="0" w:line="240" w:lineRule="auto"/>
        <w:rPr>
          <w:rFonts w:cstheme="minorHAnsi"/>
          <w:sz w:val="21"/>
          <w:szCs w:val="21"/>
        </w:rPr>
      </w:pPr>
    </w:p>
    <w:p w14:paraId="1A5BFF98" w14:textId="0FE2E94A" w:rsidR="005E0D91" w:rsidRDefault="005E0D91" w:rsidP="005E0D91">
      <w:pPr>
        <w:spacing w:after="0" w:line="240" w:lineRule="auto"/>
      </w:pPr>
      <w:r>
        <w:t xml:space="preserve">Im Juni 2019 veröffentlichte der </w:t>
      </w:r>
      <w:r w:rsidR="00DB7343">
        <w:t>UN-</w:t>
      </w:r>
      <w:r>
        <w:t>Menschenrechtsrat einen Bericht über Klimawandel und Armut, in dem deutlich hervorgehoben wurde, dass „</w:t>
      </w:r>
      <w:r w:rsidRPr="00DB7343">
        <w:rPr>
          <w:i/>
          <w:iCs/>
        </w:rPr>
        <w:t>fossile Brennstoffunternehmen der Haupttreiber des Klimawandels sind</w:t>
      </w:r>
      <w:r>
        <w:t>“ und dass „</w:t>
      </w:r>
      <w:r w:rsidRPr="00DB7343">
        <w:rPr>
          <w:i/>
          <w:iCs/>
        </w:rPr>
        <w:t xml:space="preserve">die </w:t>
      </w:r>
      <w:r w:rsidR="00DB7343" w:rsidRPr="00DB7343">
        <w:rPr>
          <w:i/>
          <w:iCs/>
        </w:rPr>
        <w:t>belegte Bilanz</w:t>
      </w:r>
      <w:r w:rsidRPr="00DB7343">
        <w:rPr>
          <w:i/>
          <w:iCs/>
        </w:rPr>
        <w:t xml:space="preserve"> </w:t>
      </w:r>
      <w:r w:rsidR="00DB7343" w:rsidRPr="00DB7343">
        <w:rPr>
          <w:i/>
          <w:iCs/>
        </w:rPr>
        <w:t xml:space="preserve">der fossilen </w:t>
      </w:r>
      <w:r w:rsidRPr="00DB7343">
        <w:rPr>
          <w:i/>
          <w:iCs/>
        </w:rPr>
        <w:t>Brennstoffe</w:t>
      </w:r>
      <w:r w:rsidR="00DB7343" w:rsidRPr="00DB7343">
        <w:rPr>
          <w:i/>
          <w:iCs/>
        </w:rPr>
        <w:t>industrie</w:t>
      </w:r>
      <w:r w:rsidRPr="00DB7343">
        <w:rPr>
          <w:i/>
          <w:iCs/>
        </w:rPr>
        <w:t xml:space="preserve"> deutlich macht, dass </w:t>
      </w:r>
      <w:r w:rsidR="00DB7343" w:rsidRPr="00DB7343">
        <w:rPr>
          <w:i/>
          <w:iCs/>
        </w:rPr>
        <w:t>blindes Vertrauen in</w:t>
      </w:r>
      <w:r w:rsidRPr="00DB7343">
        <w:rPr>
          <w:i/>
          <w:iCs/>
        </w:rPr>
        <w:t xml:space="preserve"> gewinnorientierte Akteure Menschenrechtsverletzungen </w:t>
      </w:r>
      <w:r w:rsidR="00DB7343" w:rsidRPr="00DB7343">
        <w:rPr>
          <w:i/>
          <w:iCs/>
        </w:rPr>
        <w:t xml:space="preserve">geradezu </w:t>
      </w:r>
      <w:r w:rsidRPr="00DB7343">
        <w:rPr>
          <w:i/>
          <w:iCs/>
        </w:rPr>
        <w:t>garantieren</w:t>
      </w:r>
      <w:r w:rsidR="00DB7343" w:rsidRPr="00DB7343">
        <w:rPr>
          <w:i/>
          <w:iCs/>
        </w:rPr>
        <w:t xml:space="preserve"> würde</w:t>
      </w:r>
      <w:r>
        <w:t>“</w:t>
      </w:r>
      <w:r w:rsidR="00DB7343">
        <w:t>.</w:t>
      </w:r>
      <w:r w:rsidR="00DB7343">
        <w:rPr>
          <w:rStyle w:val="Endnotenzeichen"/>
        </w:rPr>
        <w:endnoteReference w:id="30"/>
      </w:r>
    </w:p>
    <w:p w14:paraId="56691C0C" w14:textId="77777777" w:rsidR="005E0D91" w:rsidRDefault="005E0D91" w:rsidP="005E0D91">
      <w:pPr>
        <w:spacing w:after="0" w:line="240" w:lineRule="auto"/>
      </w:pPr>
    </w:p>
    <w:p w14:paraId="1965CA2F" w14:textId="46ED1246" w:rsidR="005E0D91" w:rsidRDefault="005E0D91" w:rsidP="005A5B67">
      <w:pPr>
        <w:spacing w:after="0" w:line="240" w:lineRule="auto"/>
      </w:pPr>
      <w:r>
        <w:t>Er weist ferner darauf hin, dass "</w:t>
      </w:r>
      <w:r w:rsidRPr="00DB7343">
        <w:rPr>
          <w:i/>
          <w:iCs/>
        </w:rPr>
        <w:t>wenn der Klimawandel zur Rechtfertigung einer wirtschaftsfreundlichen Politik und einer weit verbreiteten Privatisierung genutzt wird, die Ausbeutung natürlicher Ressourcen und die globale Erwärmung eher beschleunigt als verhindert werden</w:t>
      </w:r>
      <w:r w:rsidR="00DB7343" w:rsidRPr="00DB7343">
        <w:rPr>
          <w:i/>
          <w:iCs/>
        </w:rPr>
        <w:t xml:space="preserve"> könnten</w:t>
      </w:r>
      <w:r>
        <w:t>".</w:t>
      </w:r>
    </w:p>
    <w:p w14:paraId="710A2E09" w14:textId="77777777" w:rsidR="005E0D91" w:rsidRDefault="005E0D91" w:rsidP="005A5B67">
      <w:pPr>
        <w:spacing w:after="0" w:line="240" w:lineRule="auto"/>
      </w:pPr>
    </w:p>
    <w:p w14:paraId="2E94FB9E" w14:textId="77777777" w:rsidR="005E0D91" w:rsidRDefault="005E0D91" w:rsidP="005A5B67">
      <w:pPr>
        <w:spacing w:after="0" w:line="240" w:lineRule="auto"/>
      </w:pPr>
      <w:r>
        <w:t>Das gilt definitiv für die Fracking-Industrie und die falsche und positive Förderung von Erdgas.</w:t>
      </w:r>
    </w:p>
    <w:p w14:paraId="39DDE041" w14:textId="77777777" w:rsidR="005E0D91" w:rsidRDefault="005E0D91" w:rsidP="005A5B67">
      <w:pPr>
        <w:autoSpaceDE w:val="0"/>
        <w:autoSpaceDN w:val="0"/>
        <w:adjustRightInd w:val="0"/>
        <w:spacing w:after="0" w:line="240" w:lineRule="auto"/>
        <w:rPr>
          <w:rFonts w:cstheme="minorHAnsi"/>
          <w:sz w:val="21"/>
          <w:szCs w:val="21"/>
        </w:rPr>
      </w:pPr>
    </w:p>
    <w:p w14:paraId="294E06B3" w14:textId="737BA231" w:rsidR="00F8032D" w:rsidRDefault="00F8032D" w:rsidP="005A5B67">
      <w:pPr>
        <w:autoSpaceDE w:val="0"/>
        <w:autoSpaceDN w:val="0"/>
        <w:adjustRightInd w:val="0"/>
        <w:spacing w:after="0" w:line="240" w:lineRule="auto"/>
        <w:rPr>
          <w:rFonts w:cstheme="minorHAnsi"/>
          <w:sz w:val="21"/>
          <w:szCs w:val="21"/>
        </w:rPr>
      </w:pPr>
      <w:r>
        <w:rPr>
          <w:rFonts w:cstheme="minorHAnsi"/>
          <w:sz w:val="21"/>
          <w:szCs w:val="21"/>
        </w:rPr>
        <w:t xml:space="preserve">Fazit: </w:t>
      </w:r>
      <w:r w:rsidRPr="0077324C">
        <w:rPr>
          <w:rFonts w:cstheme="minorHAnsi"/>
          <w:b/>
          <w:bCs/>
          <w:sz w:val="21"/>
          <w:szCs w:val="21"/>
        </w:rPr>
        <w:t>Urteil des Permaneten Völkertribunals und Berichte des UN-Ausschusses gegen Frauendiskrimierung sowie des UN</w:t>
      </w:r>
      <w:r w:rsidRPr="0077324C">
        <w:rPr>
          <w:rFonts w:cstheme="minorHAnsi"/>
          <w:b/>
          <w:bCs/>
          <w:sz w:val="21"/>
          <w:szCs w:val="21"/>
        </w:rPr>
        <w:noBreakHyphen/>
        <w:t>Ausschuss</w:t>
      </w:r>
      <w:r w:rsidR="00733E7B">
        <w:rPr>
          <w:rFonts w:cstheme="minorHAnsi"/>
          <w:b/>
          <w:bCs/>
          <w:sz w:val="21"/>
          <w:szCs w:val="21"/>
        </w:rPr>
        <w:t>es</w:t>
      </w:r>
      <w:r w:rsidRPr="0077324C">
        <w:rPr>
          <w:rFonts w:cstheme="minorHAnsi"/>
          <w:b/>
          <w:bCs/>
          <w:sz w:val="21"/>
          <w:szCs w:val="21"/>
        </w:rPr>
        <w:t xml:space="preserve"> für wirtschaftliche, soziale und kulturelle Rechte müssen beachtet und dem Bundestag bekannt gegeben werden</w:t>
      </w:r>
      <w:r>
        <w:rPr>
          <w:rFonts w:cstheme="minorHAnsi"/>
          <w:b/>
          <w:bCs/>
          <w:sz w:val="21"/>
          <w:szCs w:val="21"/>
        </w:rPr>
        <w:t>. In der Konsequenz muss dem Bundestag und der Bundesregierung die Einführung eines</w:t>
      </w:r>
      <w:r w:rsidR="00E0317F">
        <w:rPr>
          <w:rFonts w:cstheme="minorHAnsi"/>
          <w:b/>
          <w:bCs/>
          <w:sz w:val="21"/>
          <w:szCs w:val="21"/>
        </w:rPr>
        <w:t xml:space="preserve"> zeitunabhängigen,</w:t>
      </w:r>
      <w:r>
        <w:rPr>
          <w:rFonts w:cstheme="minorHAnsi"/>
          <w:b/>
          <w:bCs/>
          <w:sz w:val="21"/>
          <w:szCs w:val="21"/>
        </w:rPr>
        <w:t xml:space="preserve"> kompletten und weitreichenden Fracking-Verbotes empfohlen werden.</w:t>
      </w:r>
    </w:p>
    <w:p w14:paraId="79C1C97F" w14:textId="2D6F10C6" w:rsidR="005E0D91" w:rsidRPr="0077324C" w:rsidRDefault="00F15EE3" w:rsidP="005E0D91">
      <w:pPr>
        <w:autoSpaceDE w:val="0"/>
        <w:autoSpaceDN w:val="0"/>
        <w:adjustRightInd w:val="0"/>
        <w:spacing w:after="0" w:line="240" w:lineRule="auto"/>
        <w:rPr>
          <w:rFonts w:cstheme="minorHAnsi"/>
          <w:bCs/>
          <w:sz w:val="21"/>
          <w:szCs w:val="21"/>
          <w:shd w:val="clear" w:color="auto" w:fill="DDDDDD"/>
        </w:rPr>
      </w:pPr>
      <w:r>
        <w:rPr>
          <w:rFonts w:cstheme="minorHAnsi"/>
          <w:bCs/>
          <w:sz w:val="21"/>
          <w:szCs w:val="21"/>
          <w:shd w:val="clear" w:color="auto" w:fill="DDDDDD"/>
        </w:rPr>
        <w:br/>
      </w:r>
    </w:p>
    <w:p w14:paraId="7B827008" w14:textId="77777777" w:rsidR="00A210B9" w:rsidRPr="0077324C" w:rsidRDefault="00A210B9" w:rsidP="00F2282F">
      <w:pPr>
        <w:tabs>
          <w:tab w:val="left" w:pos="2376"/>
        </w:tabs>
        <w:autoSpaceDE w:val="0"/>
        <w:autoSpaceDN w:val="0"/>
        <w:adjustRightInd w:val="0"/>
        <w:spacing w:after="0" w:line="240" w:lineRule="auto"/>
        <w:rPr>
          <w:rFonts w:cstheme="minorHAnsi"/>
          <w:sz w:val="21"/>
          <w:szCs w:val="21"/>
        </w:rPr>
      </w:pPr>
      <w:r w:rsidRPr="0077324C">
        <w:rPr>
          <w:rFonts w:cstheme="minorHAnsi"/>
          <w:sz w:val="21"/>
          <w:szCs w:val="21"/>
        </w:rPr>
        <w:t>Mit freundlichen Grüßen</w:t>
      </w:r>
    </w:p>
    <w:p w14:paraId="0B94553C" w14:textId="77777777" w:rsidR="00243B0F" w:rsidRPr="0077324C" w:rsidRDefault="00243B0F" w:rsidP="00F2282F">
      <w:pPr>
        <w:tabs>
          <w:tab w:val="left" w:pos="2376"/>
        </w:tabs>
        <w:autoSpaceDE w:val="0"/>
        <w:autoSpaceDN w:val="0"/>
        <w:adjustRightInd w:val="0"/>
        <w:spacing w:after="0" w:line="240" w:lineRule="auto"/>
        <w:rPr>
          <w:rFonts w:cstheme="minorHAnsi"/>
          <w:sz w:val="21"/>
          <w:szCs w:val="21"/>
          <w:lang w:val="en-GB"/>
        </w:rPr>
      </w:pPr>
    </w:p>
    <w:p w14:paraId="11A33E06" w14:textId="77777777" w:rsidR="00F15EE3" w:rsidRDefault="00F15EE3">
      <w:pPr>
        <w:rPr>
          <w:rFonts w:cstheme="minorHAnsi"/>
          <w:sz w:val="21"/>
          <w:szCs w:val="21"/>
          <w:lang w:val="en-GB"/>
        </w:rPr>
      </w:pPr>
      <w:r w:rsidRPr="004A6B6B">
        <w:rPr>
          <w:rFonts w:ascii="Forte" w:hAnsi="Forte" w:cstheme="minorHAnsi"/>
          <w:sz w:val="28"/>
          <w:szCs w:val="28"/>
          <w:lang w:val="en-GB"/>
        </w:rPr>
        <w:t>Harald Rücker</w:t>
      </w:r>
      <w:r>
        <w:rPr>
          <w:rFonts w:cstheme="minorHAnsi"/>
          <w:sz w:val="21"/>
          <w:szCs w:val="21"/>
          <w:lang w:val="en-GB"/>
        </w:rPr>
        <w:br/>
        <w:t>BI lebenswertes Korbach</w:t>
      </w:r>
    </w:p>
    <w:p w14:paraId="4F6195A6" w14:textId="77777777" w:rsidR="00F15EE3" w:rsidRDefault="00F15EE3">
      <w:pPr>
        <w:rPr>
          <w:rFonts w:cstheme="minorHAnsi"/>
          <w:sz w:val="21"/>
          <w:szCs w:val="21"/>
          <w:lang w:val="en-GB"/>
        </w:rPr>
      </w:pPr>
      <w:hyperlink r:id="rId10" w:history="1">
        <w:r w:rsidRPr="00BF105C">
          <w:rPr>
            <w:rStyle w:val="Hyperlink"/>
            <w:rFonts w:cstheme="minorHAnsi"/>
            <w:sz w:val="21"/>
            <w:szCs w:val="21"/>
            <w:lang w:val="en-GB"/>
          </w:rPr>
          <w:t>http://lebensw</w:t>
        </w:r>
        <w:r w:rsidRPr="00BF105C">
          <w:rPr>
            <w:rStyle w:val="Hyperlink"/>
            <w:rFonts w:cstheme="minorHAnsi"/>
            <w:sz w:val="21"/>
            <w:szCs w:val="21"/>
            <w:lang w:val="en-GB"/>
          </w:rPr>
          <w:t>e</w:t>
        </w:r>
        <w:r w:rsidRPr="00BF105C">
          <w:rPr>
            <w:rStyle w:val="Hyperlink"/>
            <w:rFonts w:cstheme="minorHAnsi"/>
            <w:sz w:val="21"/>
            <w:szCs w:val="21"/>
            <w:lang w:val="en-GB"/>
          </w:rPr>
          <w:t>rtes-korbach.org</w:t>
        </w:r>
      </w:hyperlink>
      <w:r>
        <w:rPr>
          <w:rFonts w:cstheme="minorHAnsi"/>
          <w:sz w:val="21"/>
          <w:szCs w:val="21"/>
          <w:lang w:val="en-GB"/>
        </w:rPr>
        <w:t xml:space="preserve"> </w:t>
      </w:r>
      <w:r>
        <w:rPr>
          <w:rFonts w:cstheme="minorHAnsi"/>
          <w:sz w:val="21"/>
          <w:szCs w:val="21"/>
          <w:lang w:val="en-GB"/>
        </w:rPr>
        <w:br/>
      </w:r>
      <w:hyperlink r:id="rId11" w:history="1">
        <w:r w:rsidRPr="00BF105C">
          <w:rPr>
            <w:rStyle w:val="Hyperlink"/>
            <w:rFonts w:cstheme="minorHAnsi"/>
            <w:sz w:val="21"/>
            <w:szCs w:val="21"/>
            <w:lang w:val="en-GB"/>
          </w:rPr>
          <w:t>info@lebenswertes-korbach.org</w:t>
        </w:r>
      </w:hyperlink>
      <w:r>
        <w:rPr>
          <w:rFonts w:cstheme="minorHAnsi"/>
          <w:sz w:val="21"/>
          <w:szCs w:val="21"/>
          <w:lang w:val="en-GB"/>
        </w:rPr>
        <w:t xml:space="preserve"> </w:t>
      </w:r>
    </w:p>
    <w:p w14:paraId="27143F65" w14:textId="12EAA8FC" w:rsidR="00E33803" w:rsidRDefault="00E33803">
      <w:pPr>
        <w:rPr>
          <w:rFonts w:cstheme="minorHAnsi"/>
          <w:sz w:val="21"/>
          <w:szCs w:val="21"/>
          <w:lang w:val="en-GB"/>
        </w:rPr>
      </w:pPr>
      <w:r>
        <w:rPr>
          <w:rFonts w:cstheme="minorHAnsi"/>
          <w:sz w:val="21"/>
          <w:szCs w:val="21"/>
          <w:lang w:val="en-GB"/>
        </w:rPr>
        <w:br w:type="page"/>
      </w:r>
      <w:bookmarkStart w:id="0" w:name="_GoBack"/>
      <w:bookmarkEnd w:id="0"/>
    </w:p>
    <w:p w14:paraId="27948E5F" w14:textId="77777777" w:rsidR="005A5B67" w:rsidRDefault="005A5B67" w:rsidP="00A210B9">
      <w:pPr>
        <w:tabs>
          <w:tab w:val="left" w:pos="2376"/>
        </w:tabs>
        <w:autoSpaceDE w:val="0"/>
        <w:autoSpaceDN w:val="0"/>
        <w:adjustRightInd w:val="0"/>
        <w:spacing w:after="0" w:line="240" w:lineRule="auto"/>
        <w:rPr>
          <w:rFonts w:cstheme="minorHAnsi"/>
          <w:sz w:val="21"/>
          <w:szCs w:val="21"/>
          <w:lang w:val="en-GB"/>
        </w:rPr>
      </w:pPr>
    </w:p>
    <w:p w14:paraId="4F4B8B9C" w14:textId="77777777" w:rsidR="00F15EE3" w:rsidRDefault="00F15EE3" w:rsidP="00A210B9">
      <w:pPr>
        <w:tabs>
          <w:tab w:val="left" w:pos="2376"/>
        </w:tabs>
        <w:autoSpaceDE w:val="0"/>
        <w:autoSpaceDN w:val="0"/>
        <w:adjustRightInd w:val="0"/>
        <w:spacing w:after="0" w:line="240" w:lineRule="auto"/>
        <w:rPr>
          <w:rFonts w:cstheme="minorHAnsi"/>
          <w:b/>
          <w:bCs/>
          <w:sz w:val="21"/>
          <w:szCs w:val="21"/>
          <w:u w:val="single"/>
          <w:lang w:val="en-GB"/>
        </w:rPr>
      </w:pPr>
    </w:p>
    <w:p w14:paraId="1AB925ED" w14:textId="3F0C209A" w:rsidR="00A210B9" w:rsidRPr="005A5B67" w:rsidRDefault="005A5B67" w:rsidP="00A210B9">
      <w:pPr>
        <w:tabs>
          <w:tab w:val="left" w:pos="2376"/>
        </w:tabs>
        <w:autoSpaceDE w:val="0"/>
        <w:autoSpaceDN w:val="0"/>
        <w:adjustRightInd w:val="0"/>
        <w:spacing w:after="0" w:line="240" w:lineRule="auto"/>
        <w:rPr>
          <w:rFonts w:cstheme="minorHAnsi"/>
          <w:b/>
          <w:bCs/>
          <w:sz w:val="21"/>
          <w:szCs w:val="21"/>
          <w:u w:val="single"/>
          <w:lang w:val="en-GB"/>
        </w:rPr>
      </w:pPr>
      <w:r w:rsidRPr="005A5B67">
        <w:rPr>
          <w:rFonts w:cstheme="minorHAnsi"/>
          <w:b/>
          <w:bCs/>
          <w:sz w:val="21"/>
          <w:szCs w:val="21"/>
          <w:u w:val="single"/>
          <w:lang w:val="en-GB"/>
        </w:rPr>
        <w:t>Quellen</w:t>
      </w:r>
      <w:r w:rsidRPr="00F15EE3">
        <w:rPr>
          <w:rFonts w:cstheme="minorHAnsi"/>
          <w:b/>
          <w:bCs/>
          <w:sz w:val="21"/>
          <w:szCs w:val="21"/>
          <w:u w:val="single"/>
        </w:rPr>
        <w:t>/Verweise</w:t>
      </w:r>
      <w:r w:rsidRPr="005A5B67">
        <w:rPr>
          <w:rFonts w:cstheme="minorHAnsi"/>
          <w:b/>
          <w:bCs/>
          <w:sz w:val="21"/>
          <w:szCs w:val="21"/>
          <w:u w:val="single"/>
          <w:lang w:val="en-GB"/>
        </w:rPr>
        <w:t>:</w:t>
      </w:r>
    </w:p>
    <w:sectPr w:rsidR="00A210B9" w:rsidRPr="005A5B6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1090" w14:textId="77777777" w:rsidR="00FD3008" w:rsidRDefault="00FD3008" w:rsidP="002248FB">
      <w:pPr>
        <w:spacing w:after="0" w:line="240" w:lineRule="auto"/>
      </w:pPr>
      <w:r>
        <w:separator/>
      </w:r>
    </w:p>
  </w:endnote>
  <w:endnote w:type="continuationSeparator" w:id="0">
    <w:p w14:paraId="192AE0FD" w14:textId="77777777" w:rsidR="00FD3008" w:rsidRDefault="00FD3008" w:rsidP="002248FB">
      <w:pPr>
        <w:spacing w:after="0" w:line="240" w:lineRule="auto"/>
      </w:pPr>
      <w:r>
        <w:continuationSeparator/>
      </w:r>
    </w:p>
  </w:endnote>
  <w:endnote w:id="1">
    <w:p w14:paraId="130F2DF7" w14:textId="144E7F4A" w:rsidR="00E0317F" w:rsidRDefault="00E0317F">
      <w:pPr>
        <w:pStyle w:val="Endnotentext"/>
      </w:pPr>
      <w:r>
        <w:rPr>
          <w:rStyle w:val="Endnotenzeichen"/>
        </w:rPr>
        <w:endnoteRef/>
      </w:r>
      <w:r>
        <w:t xml:space="preserve"> </w:t>
      </w:r>
      <w:r w:rsidRPr="00E0317F">
        <w:t>https://expkom-fracking-whg.de/lw_resource/datapool/systemfiles/elements/files/A679DFA7634A52CFE0537E695E861617/live/document/Berichtsentwurf2020_ExpKom.pdf</w:t>
      </w:r>
    </w:p>
  </w:endnote>
  <w:endnote w:id="2">
    <w:p w14:paraId="33726BCD" w14:textId="6EFE2A6C"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https://corporate.exxonmobil.com/-/media/Global/Files/hydraulic-fracturing/Unconventional-Resources-Development-Risk-Management-Report.pdf</w:t>
      </w:r>
    </w:p>
  </w:endnote>
  <w:endnote w:id="3">
    <w:p w14:paraId="68402A0C" w14:textId="76F23C63"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https://www.diw.de/documents/publikationen/73/diw_01.c.357509.de/10-24-3.pdf</w:t>
      </w:r>
    </w:p>
  </w:endnote>
  <w:endnote w:id="4">
    <w:p w14:paraId="4F066AAA" w14:textId="7FFF9B63"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https://www.bgr.bund.de/DE/Themen/Energie/Projekte/abgeschlossen/NIKO/FAQ/faq_inhalt.html</w:t>
      </w:r>
    </w:p>
    <w:p w14:paraId="0BF92E03" w14:textId="4475B27D" w:rsidR="00E0317F" w:rsidRPr="005A5B67" w:rsidRDefault="00E0317F">
      <w:pPr>
        <w:pStyle w:val="Endnotentext"/>
        <w:rPr>
          <w:sz w:val="16"/>
          <w:szCs w:val="16"/>
        </w:rPr>
      </w:pPr>
      <w:r w:rsidRPr="005A5B67">
        <w:rPr>
          <w:sz w:val="16"/>
          <w:szCs w:val="16"/>
        </w:rPr>
        <w:t>http://www.bgr.bund.de/DE/Themen/Energie/Downloads/BGR_Schiefergaspotenzial_in_Deutschland_2012.pdf%3F__blob%3DpublicationFile</w:t>
      </w:r>
    </w:p>
  </w:endnote>
  <w:endnote w:id="5">
    <w:p w14:paraId="0A9EF1C6" w14:textId="77777777" w:rsidR="00E0317F" w:rsidRPr="005A5B67" w:rsidRDefault="00E0317F" w:rsidP="00A750B2">
      <w:pPr>
        <w:pStyle w:val="Endnotentext"/>
        <w:rPr>
          <w:sz w:val="16"/>
          <w:szCs w:val="16"/>
        </w:rPr>
      </w:pPr>
      <w:r w:rsidRPr="005A5B67">
        <w:rPr>
          <w:rStyle w:val="Endnotenzeichen"/>
          <w:sz w:val="16"/>
          <w:szCs w:val="16"/>
        </w:rPr>
        <w:endnoteRef/>
      </w:r>
      <w:r w:rsidRPr="005A5B67">
        <w:rPr>
          <w:sz w:val="16"/>
          <w:szCs w:val="16"/>
        </w:rPr>
        <w:t xml:space="preserve"> https://www.europarl.europa.eu/RegData/bibliotheque/briefing/2014/140815/LDM_BRI%282014%29140815_REV1_EN.pdf</w:t>
      </w:r>
    </w:p>
  </w:endnote>
  <w:endnote w:id="6">
    <w:p w14:paraId="69033AB2" w14:textId="797A600D"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https://pubs.acs.org/doi/full/10.1021/acs.est.5b01921</w:t>
      </w:r>
    </w:p>
  </w:endnote>
  <w:endnote w:id="7">
    <w:p w14:paraId="2ED07173" w14:textId="0CF027EE"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https://www.bmwi.de/Redaktion/DE/Downloads/Stellungnahmen/Stellungnahmen-Fracking/anti-fracking-buendnis-nordhessen.pdf?__blob=publicationFile&amp;v=3</w:t>
      </w:r>
    </w:p>
  </w:endnote>
  <w:endnote w:id="8">
    <w:p w14:paraId="3CAE7402" w14:textId="77777777" w:rsidR="00E0317F" w:rsidRPr="005A5B67" w:rsidRDefault="00E0317F" w:rsidP="00E56917">
      <w:pPr>
        <w:pStyle w:val="Funotentext"/>
        <w:rPr>
          <w:sz w:val="16"/>
          <w:szCs w:val="16"/>
          <w:lang w:val="en-GB"/>
        </w:rPr>
      </w:pPr>
      <w:r w:rsidRPr="005A5B67">
        <w:rPr>
          <w:rStyle w:val="Endnotenzeichen"/>
          <w:sz w:val="16"/>
          <w:szCs w:val="16"/>
        </w:rPr>
        <w:endnoteRef/>
      </w:r>
      <w:r w:rsidRPr="005A5B67">
        <w:rPr>
          <w:sz w:val="16"/>
          <w:szCs w:val="16"/>
          <w:lang w:val="en-GB"/>
        </w:rPr>
        <w:t xml:space="preserve"> </w:t>
      </w:r>
      <w:r w:rsidRPr="005A5B67">
        <w:rPr>
          <w:rFonts w:cstheme="minorHAnsi"/>
          <w:sz w:val="16"/>
          <w:szCs w:val="16"/>
          <w:lang w:val="en-GB"/>
        </w:rPr>
        <w:t>Oil Change International. „Debunked: The G20 Clean Gas Myth“. 11.06.18. Link: http://priceofoil.org/2018/06/11/debunked-g20-clean-gas-myth/</w:t>
      </w:r>
    </w:p>
    <w:p w14:paraId="0BA5410E" w14:textId="09081704" w:rsidR="00E0317F" w:rsidRPr="005A5B67" w:rsidRDefault="00E0317F" w:rsidP="00E56917">
      <w:pPr>
        <w:pStyle w:val="Funotentext"/>
        <w:rPr>
          <w:rFonts w:ascii="Calibri" w:eastAsia="Calibri" w:hAnsi="Calibri" w:cs="Calibri"/>
          <w:sz w:val="16"/>
          <w:szCs w:val="16"/>
          <w:lang w:val="en-GB"/>
        </w:rPr>
      </w:pPr>
      <w:r w:rsidRPr="005A5B67">
        <w:rPr>
          <w:rStyle w:val="Funotenzeichen"/>
          <w:sz w:val="16"/>
          <w:szCs w:val="16"/>
        </w:rPr>
        <w:endnoteRef/>
      </w:r>
      <w:r w:rsidRPr="005A5B67">
        <w:rPr>
          <w:sz w:val="16"/>
          <w:szCs w:val="16"/>
          <w:lang w:val="en-GB"/>
        </w:rPr>
        <w:t xml:space="preserve"> </w:t>
      </w:r>
      <w:r w:rsidRPr="005A5B67">
        <w:rPr>
          <w:rFonts w:cstheme="minorHAnsi"/>
          <w:sz w:val="16"/>
          <w:szCs w:val="16"/>
          <w:lang w:val="en-GB"/>
        </w:rPr>
        <w:t>Howarthlab.org</w:t>
      </w:r>
    </w:p>
    <w:p w14:paraId="22FC790E" w14:textId="1CF74821" w:rsidR="00E0317F" w:rsidRPr="005A5B67" w:rsidRDefault="00E0317F" w:rsidP="00E56917">
      <w:pPr>
        <w:pStyle w:val="Endnotentext"/>
        <w:rPr>
          <w:sz w:val="16"/>
          <w:szCs w:val="16"/>
          <w:lang w:val="en-GB"/>
        </w:rPr>
      </w:pPr>
      <w:r w:rsidRPr="005A5B67">
        <w:rPr>
          <w:rFonts w:ascii="Calibri" w:eastAsia="Calibri" w:hAnsi="Calibri" w:cs="Calibri"/>
          <w:sz w:val="16"/>
          <w:szCs w:val="16"/>
          <w:lang w:val="en-GB"/>
        </w:rPr>
        <w:t>Ithaca, NY, USA. Link: https://www.youtube.com/watch?v=1NPuYr1LGMI</w:t>
      </w:r>
    </w:p>
  </w:endnote>
  <w:endnote w:id="9">
    <w:p w14:paraId="713F2F43" w14:textId="0E240DB8"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w:t>
      </w:r>
      <w:hyperlink r:id="rId1" w:history="1">
        <w:r w:rsidRPr="005A5B67">
          <w:rPr>
            <w:rStyle w:val="Hyperlink"/>
            <w:rFonts w:cstheme="minorHAnsi"/>
            <w:sz w:val="16"/>
            <w:szCs w:val="16"/>
            <w:lang w:val="en-GB"/>
          </w:rPr>
          <w:t>https://www.nasa.gov/feature/jpl/nasa-led-study-solves-a-methane-puzzle/</w:t>
        </w:r>
      </w:hyperlink>
    </w:p>
  </w:endnote>
  <w:endnote w:id="10">
    <w:p w14:paraId="4CC38411" w14:textId="2A2B0244"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https://www.biogeosciences.net/16/3033/2019/</w:t>
      </w:r>
    </w:p>
  </w:endnote>
  <w:endnote w:id="11">
    <w:p w14:paraId="4C8B3235" w14:textId="0B22C501"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rPr>
        <w:t xml:space="preserve"> </w:t>
      </w:r>
      <w:r w:rsidRPr="005A5B67">
        <w:rPr>
          <w:rFonts w:cstheme="minorHAnsi"/>
          <w:sz w:val="16"/>
          <w:szCs w:val="16"/>
        </w:rPr>
        <w:t xml:space="preserve">Cremonese, Lorenzo und Gusev, Alexander. „Die ungewissen Klimakosten von Erdgas“. </w:t>
      </w:r>
      <w:r w:rsidRPr="005A5B67">
        <w:rPr>
          <w:rFonts w:cstheme="minorHAnsi"/>
          <w:sz w:val="16"/>
          <w:szCs w:val="16"/>
          <w:lang w:val="en-GB"/>
        </w:rPr>
        <w:t xml:space="preserve">Institute for Advanced Sustainability Studies (IASS). Potsdam, Dezember 2016. Link: </w:t>
      </w:r>
      <w:r w:rsidRPr="005A5B67">
        <w:rPr>
          <w:rStyle w:val="Hyperlink"/>
          <w:rFonts w:cstheme="minorHAnsi"/>
          <w:sz w:val="16"/>
          <w:szCs w:val="16"/>
          <w:lang w:val="en-GB"/>
        </w:rPr>
        <w:t>https://www.iass-potsdam.de/sites/default/files/files/working_paper_2017_klimakosten_erdgas.pdf</w:t>
      </w:r>
    </w:p>
  </w:endnote>
  <w:endnote w:id="12">
    <w:p w14:paraId="1EAA858C" w14:textId="66510D82"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w:t>
      </w:r>
      <w:r w:rsidRPr="005A5B67">
        <w:rPr>
          <w:rFonts w:eastAsia="Times New Roman" w:cstheme="minorHAnsi"/>
          <w:color w:val="000000"/>
          <w:sz w:val="16"/>
          <w:szCs w:val="16"/>
          <w:lang w:val="en-GB" w:eastAsia="de-DE"/>
        </w:rPr>
        <w:t xml:space="preserve">IPCC 2013, Chapter 8, </w:t>
      </w:r>
      <w:r w:rsidRPr="005A5B67">
        <w:rPr>
          <w:rFonts w:cstheme="minorHAnsi"/>
          <w:sz w:val="16"/>
          <w:szCs w:val="16"/>
          <w:lang w:val="en-GB"/>
        </w:rPr>
        <w:t>Anthropogenic and Natural Radiative Forcing</w:t>
      </w:r>
      <w:r w:rsidRPr="005A5B67">
        <w:rPr>
          <w:rFonts w:eastAsia="Times New Roman" w:cstheme="minorHAnsi"/>
          <w:color w:val="000000"/>
          <w:sz w:val="16"/>
          <w:szCs w:val="16"/>
          <w:lang w:val="en-GB" w:eastAsia="de-DE"/>
        </w:rPr>
        <w:t xml:space="preserve"> Link: </w:t>
      </w:r>
      <w:hyperlink r:id="rId2" w:history="1">
        <w:r w:rsidRPr="005A5B67">
          <w:rPr>
            <w:rStyle w:val="Hyperlink"/>
            <w:rFonts w:eastAsia="Times New Roman" w:cstheme="minorHAnsi"/>
            <w:sz w:val="16"/>
            <w:szCs w:val="16"/>
            <w:lang w:val="en-GB" w:eastAsia="de-DE"/>
          </w:rPr>
          <w:t>https://www.ipcc.ch/pdf/assessment-report/ar5/wg1/WG1AR5_Chapter08_FINAL.pdf</w:t>
        </w:r>
      </w:hyperlink>
    </w:p>
  </w:endnote>
  <w:endnote w:id="13">
    <w:p w14:paraId="44681045" w14:textId="61FE80E3"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https://www.research.manchester.ac.uk/portal/en/publications/natural-gas-and-climate-change(c82adf1f-17fd-4842-abeb-f16c4ab83605).html</w:t>
      </w:r>
    </w:p>
  </w:endnote>
  <w:endnote w:id="14">
    <w:p w14:paraId="2295294D" w14:textId="5DD9D76F"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https://www.umweltbundesamt.de/daten/umwelt-wirtschaft/gesellschaftliche-kosten-von-umweltbelastungen#textpart-2</w:t>
      </w:r>
    </w:p>
  </w:endnote>
  <w:endnote w:id="15">
    <w:p w14:paraId="5A5A8020" w14:textId="77777777" w:rsidR="00E0317F" w:rsidRPr="005A5B67" w:rsidRDefault="00E0317F" w:rsidP="00720ABB">
      <w:pPr>
        <w:pStyle w:val="Endnotentext"/>
        <w:rPr>
          <w:sz w:val="16"/>
          <w:szCs w:val="16"/>
          <w:lang w:val="en-GB"/>
        </w:rPr>
      </w:pPr>
      <w:r w:rsidRPr="005A5B67">
        <w:rPr>
          <w:rStyle w:val="Endnotenzeichen"/>
          <w:sz w:val="16"/>
          <w:szCs w:val="16"/>
        </w:rPr>
        <w:endnoteRef/>
      </w:r>
      <w:r w:rsidRPr="005A5B67">
        <w:rPr>
          <w:sz w:val="16"/>
          <w:szCs w:val="16"/>
          <w:lang w:val="en-GB"/>
        </w:rPr>
        <w:t xml:space="preserve"> http://concernedhealthny.org/compendium/</w:t>
      </w:r>
    </w:p>
  </w:endnote>
  <w:endnote w:id="16">
    <w:p w14:paraId="3E9CA65C" w14:textId="161C01CB"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http://www.umweltbundesamt.de/sites/default/files/medien/378/publikationen/texte_53_2014_umweltauswirkungen_von_fracking_28.07.2014_0.pdf</w:t>
      </w:r>
    </w:p>
  </w:endnote>
  <w:endnote w:id="17">
    <w:p w14:paraId="7C968FA0" w14:textId="17BB9545"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w:t>
      </w:r>
      <w:r w:rsidRPr="005A5B67">
        <w:rPr>
          <w:rFonts w:eastAsia="Constantia" w:cs="Constantia"/>
          <w:color w:val="000000"/>
          <w:sz w:val="16"/>
          <w:szCs w:val="16"/>
        </w:rPr>
        <w:t xml:space="preserve">Quellen Mengenangaben Wasser: </w:t>
      </w:r>
      <w:r w:rsidRPr="005A5B67">
        <w:rPr>
          <w:rFonts w:eastAsia="Constantia" w:cs="Constantia"/>
          <w:color w:val="000000"/>
          <w:sz w:val="16"/>
          <w:szCs w:val="16"/>
        </w:rPr>
        <w:br/>
        <w:t>Fracking-Gutachten NRW (Langfassung, Kapitel 6 S. 109,110 Rosenwinkel et al., 2012): https://www.umwelt.nrw.de/fileadmin/redaktion/PDFs/umwelt/gutachten_fracking_nrw_2012_lang_03.pdf</w:t>
      </w:r>
      <w:r w:rsidRPr="005A5B67">
        <w:rPr>
          <w:rFonts w:eastAsia="Constantia" w:cs="Constantia"/>
          <w:color w:val="000000"/>
          <w:sz w:val="16"/>
          <w:szCs w:val="16"/>
        </w:rPr>
        <w:br/>
        <w:t>UBA I Gutachten, August 2012: http://www.umweltbundesamt.de/sites/default/files/medien/461/pub</w:t>
      </w:r>
      <w:r w:rsidR="004A6B6B">
        <w:rPr>
          <w:rFonts w:eastAsia="Constantia" w:cs="Constantia"/>
          <w:color w:val="000000"/>
          <w:sz w:val="16"/>
          <w:szCs w:val="16"/>
        </w:rPr>
        <w:t>likationen/4346.pdf</w:t>
      </w:r>
      <w:r w:rsidR="004A6B6B">
        <w:rPr>
          <w:rFonts w:eastAsia="Constantia" w:cs="Constantia"/>
          <w:color w:val="000000"/>
          <w:sz w:val="16"/>
          <w:szCs w:val="16"/>
        </w:rPr>
        <w:br/>
        <w:t>UBA II Guta</w:t>
      </w:r>
      <w:r w:rsidRPr="005A5B67">
        <w:rPr>
          <w:rFonts w:eastAsia="Constantia" w:cs="Constantia"/>
          <w:color w:val="000000"/>
          <w:sz w:val="16"/>
          <w:szCs w:val="16"/>
        </w:rPr>
        <w:t xml:space="preserve">chten 2014:  </w:t>
      </w:r>
      <w:hyperlink r:id="rId3" w:history="1">
        <w:r w:rsidRPr="005A5B67">
          <w:rPr>
            <w:rStyle w:val="Hyperlink"/>
            <w:rFonts w:eastAsia="Constantia" w:cs="Constantia"/>
            <w:color w:val="000000"/>
            <w:sz w:val="16"/>
            <w:szCs w:val="16"/>
          </w:rPr>
          <w:t>http://www.umweltbundesamt.de/sites/default/files/medien/378/publikationen/texte_53_2014_umweltauswirkungen_von_fracking_0.pdf</w:t>
        </w:r>
      </w:hyperlink>
    </w:p>
  </w:endnote>
  <w:endnote w:id="18">
    <w:p w14:paraId="46B11892" w14:textId="2307B793"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https://de.statista.com/statistik/daten/studie/12353/umfrage/wasserverbrauch-pro-einwohner-und-tag-seit-1990/</w:t>
      </w:r>
    </w:p>
  </w:endnote>
  <w:endnote w:id="19">
    <w:p w14:paraId="0D837BD7" w14:textId="5CBC3108"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https://www.fractracker.org/</w:t>
      </w:r>
    </w:p>
  </w:endnote>
  <w:endnote w:id="20">
    <w:p w14:paraId="50024781" w14:textId="3423B576"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https://www.ufz.de/export/data/2/201587_Abschlussbericht%20Ex_risikostudiefracking_120518_webprint.pdf</w:t>
      </w:r>
    </w:p>
  </w:endnote>
  <w:endnote w:id="21">
    <w:p w14:paraId="0A92E942" w14:textId="43EADBB1"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https://environmentamerica.org/reports/ame/fracking-numbers-0</w:t>
      </w:r>
    </w:p>
  </w:endnote>
  <w:endnote w:id="22">
    <w:p w14:paraId="5DF28C43" w14:textId="525626EC"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w:t>
      </w:r>
      <w:r w:rsidRPr="005A5B67">
        <w:rPr>
          <w:rFonts w:cs="Calibri"/>
          <w:sz w:val="16"/>
          <w:szCs w:val="16"/>
        </w:rPr>
        <w:t>http://www.ceres.org/issues/water/shale-energy/shale-and-water-maps/hydraulic-fracturing-water-stress-water-demand-by-the-numbers</w:t>
      </w:r>
    </w:p>
  </w:endnote>
  <w:endnote w:id="23">
    <w:p w14:paraId="46AC86DD" w14:textId="791D3E3F"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https://www.foeeurope.org/fracking-frenzy-report-011214</w:t>
      </w:r>
    </w:p>
  </w:endnote>
  <w:endnote w:id="24">
    <w:p w14:paraId="6E1BB7CD" w14:textId="56968BFE"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http://f.datasrvr.com/fr1/314/48797/Shale_Gas,_an_International_Guide_v3.pdf</w:t>
      </w:r>
    </w:p>
  </w:endnote>
  <w:endnote w:id="25">
    <w:p w14:paraId="58AE693A" w14:textId="65643213"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www.wri.org/water-for-shale</w:t>
      </w:r>
    </w:p>
  </w:endnote>
  <w:endnote w:id="26">
    <w:p w14:paraId="2E7C1528" w14:textId="501D43AC" w:rsidR="00E0317F" w:rsidRPr="005A5B67" w:rsidRDefault="00E0317F">
      <w:pPr>
        <w:pStyle w:val="Endnotentext"/>
        <w:rPr>
          <w:sz w:val="16"/>
          <w:szCs w:val="16"/>
        </w:rPr>
      </w:pPr>
      <w:r w:rsidRPr="005A5B67">
        <w:rPr>
          <w:rStyle w:val="Endnotenzeichen"/>
          <w:sz w:val="16"/>
          <w:szCs w:val="16"/>
        </w:rPr>
        <w:endnoteRef/>
      </w:r>
      <w:r w:rsidRPr="005A5B67">
        <w:rPr>
          <w:sz w:val="16"/>
          <w:szCs w:val="16"/>
        </w:rPr>
        <w:t xml:space="preserve"> </w:t>
      </w:r>
      <w:r w:rsidRPr="005A5B67">
        <w:rPr>
          <w:rFonts w:eastAsia="Calibri" w:cstheme="minorHAnsi"/>
          <w:sz w:val="16"/>
          <w:szCs w:val="16"/>
        </w:rPr>
        <w:t>https://www.tribunalonfracking.org/judges-statements/</w:t>
      </w:r>
    </w:p>
  </w:endnote>
  <w:endnote w:id="27">
    <w:p w14:paraId="48730A99" w14:textId="03EECF00"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w:t>
      </w:r>
      <w:r w:rsidRPr="005A5B67">
        <w:rPr>
          <w:rFonts w:cstheme="minorHAnsi"/>
          <w:sz w:val="16"/>
          <w:szCs w:val="16"/>
          <w:lang w:val="en-GB"/>
        </w:rPr>
        <w:t>Permanent Peoples‘ Tribunal. „Session on Human Rights, Fracking and Climate Change. 14-18 May 2018. Advisory Opinion. Available at: https://www.tribunalonfracking.org/wp-content/uploads/2019/04/AO-FINAL-3-28-19.pdf</w:t>
      </w:r>
    </w:p>
  </w:endnote>
  <w:endnote w:id="28">
    <w:p w14:paraId="21A4F662" w14:textId="1A16DF19" w:rsidR="00E0317F" w:rsidRPr="005A5B67" w:rsidRDefault="00E0317F">
      <w:pPr>
        <w:pStyle w:val="Endnotentext"/>
        <w:rPr>
          <w:sz w:val="16"/>
          <w:szCs w:val="16"/>
        </w:rPr>
      </w:pPr>
      <w:r w:rsidRPr="005A5B67">
        <w:rPr>
          <w:rStyle w:val="Endnotenzeichen"/>
          <w:sz w:val="16"/>
          <w:szCs w:val="16"/>
        </w:rPr>
        <w:endnoteRef/>
      </w:r>
      <w:r w:rsidRPr="005A5B67">
        <w:rPr>
          <w:sz w:val="16"/>
          <w:szCs w:val="16"/>
          <w:lang w:val="en-GB"/>
        </w:rPr>
        <w:t xml:space="preserve"> </w:t>
      </w:r>
      <w:r w:rsidRPr="005A5B67">
        <w:rPr>
          <w:rFonts w:eastAsia="Calibri" w:cstheme="minorHAnsi"/>
          <w:sz w:val="16"/>
          <w:szCs w:val="16"/>
          <w:lang w:val="en-US"/>
        </w:rPr>
        <w:t>CESCR - International Covenant on Economic, Social and Cultural Rights. E/C/12/ARG/CO/4 https://tbinternet.ohchr.org/_layouts/treatybodyexternal/SessionDetails1.aspx?SessionID=1200&amp;Lang=en</w:t>
      </w:r>
    </w:p>
  </w:endnote>
  <w:endnote w:id="29">
    <w:p w14:paraId="565E6346" w14:textId="0D7FB7E5" w:rsidR="00E0317F" w:rsidRPr="005A5B67" w:rsidRDefault="00E0317F">
      <w:pPr>
        <w:pStyle w:val="Endnotentext"/>
        <w:rPr>
          <w:sz w:val="16"/>
          <w:szCs w:val="16"/>
          <w:lang w:val="en-GB"/>
        </w:rPr>
      </w:pPr>
      <w:r w:rsidRPr="005A5B67">
        <w:rPr>
          <w:rStyle w:val="Endnotenzeichen"/>
          <w:sz w:val="16"/>
          <w:szCs w:val="16"/>
        </w:rPr>
        <w:endnoteRef/>
      </w:r>
      <w:r w:rsidRPr="005A5B67">
        <w:rPr>
          <w:sz w:val="16"/>
          <w:szCs w:val="16"/>
          <w:lang w:val="en-GB"/>
        </w:rPr>
        <w:t xml:space="preserve"> </w:t>
      </w:r>
      <w:r w:rsidRPr="005A5B67">
        <w:rPr>
          <w:rFonts w:cstheme="minorHAnsi"/>
          <w:sz w:val="16"/>
          <w:szCs w:val="16"/>
          <w:lang w:val="en-US"/>
        </w:rPr>
        <w:t>CEDAW - Concluding observations on the eight periodic report of United Kingdom of Great Britain and Northern Ireland, C/GBR/CO/8 (</w:t>
      </w:r>
      <w:hyperlink r:id="rId4" w:tgtFrame="_blank" w:history="1">
        <w:r w:rsidRPr="005A5B67">
          <w:rPr>
            <w:rFonts w:cstheme="minorHAnsi"/>
            <w:sz w:val="16"/>
            <w:szCs w:val="16"/>
            <w:u w:val="single"/>
            <w:lang w:val="en-US"/>
          </w:rPr>
          <w:t>https://tbinternet.ohchr.org/_layouts/treatybodyexternal/Download.aspx?symbolno=CEDAW%2FC%2FGBR%2FCO%2F8&amp;Lang=en</w:t>
        </w:r>
      </w:hyperlink>
      <w:r w:rsidRPr="005A5B67">
        <w:rPr>
          <w:rFonts w:cstheme="minorHAnsi"/>
          <w:sz w:val="16"/>
          <w:szCs w:val="16"/>
          <w:lang w:val="en-US"/>
        </w:rPr>
        <w:t>)</w:t>
      </w:r>
    </w:p>
  </w:endnote>
  <w:endnote w:id="30">
    <w:p w14:paraId="0F1C77E7" w14:textId="56634C31" w:rsidR="00E0317F" w:rsidRPr="00F8032D" w:rsidRDefault="00E0317F">
      <w:pPr>
        <w:pStyle w:val="Endnotentext"/>
        <w:rPr>
          <w:lang w:val="en-GB"/>
        </w:rPr>
      </w:pPr>
      <w:r>
        <w:rPr>
          <w:rStyle w:val="Endnotenzeichen"/>
        </w:rPr>
        <w:endnoteRef/>
      </w:r>
      <w:r w:rsidRPr="00F8032D">
        <w:rPr>
          <w:lang w:val="en-GB"/>
        </w:rPr>
        <w:t xml:space="preserve"> </w:t>
      </w:r>
      <w:r w:rsidRPr="00F8032D">
        <w:rPr>
          <w:sz w:val="16"/>
          <w:szCs w:val="16"/>
          <w:lang w:val="en-GB"/>
        </w:rPr>
        <w:t>UN Human Rights Council. „Climate Change and Poverty: Report of the Special Rapporteur on extreme poverty and human rights“. 25 June 2019. Available at: https://srpovertyorg.files.wordpress.com/2019/06/unsr-poverty-climate-change-a_hrc_41_39.pdf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QuayItcT-Blac">
    <w:charset w:val="00"/>
    <w:family w:val="roman"/>
    <w:pitch w:val="default"/>
  </w:font>
  <w:font w:name="Constantia">
    <w:panose1 w:val="02030602050306030303"/>
    <w:charset w:val="00"/>
    <w:family w:val="roman"/>
    <w:pitch w:val="variable"/>
    <w:sig w:usb0="A00002EF" w:usb1="4000204B"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61970"/>
      <w:docPartObj>
        <w:docPartGallery w:val="Page Numbers (Bottom of Page)"/>
        <w:docPartUnique/>
      </w:docPartObj>
    </w:sdtPr>
    <w:sdtEndPr/>
    <w:sdtContent>
      <w:sdt>
        <w:sdtPr>
          <w:id w:val="-1769616900"/>
          <w:docPartObj>
            <w:docPartGallery w:val="Page Numbers (Top of Page)"/>
            <w:docPartUnique/>
          </w:docPartObj>
        </w:sdtPr>
        <w:sdtEndPr/>
        <w:sdtContent>
          <w:p w14:paraId="33106261" w14:textId="775A13AB" w:rsidR="00E0317F" w:rsidRDefault="00E0317F">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A6B6B">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A6B6B">
              <w:rPr>
                <w:b/>
                <w:bCs/>
                <w:noProof/>
              </w:rPr>
              <w:t>9</w:t>
            </w:r>
            <w:r>
              <w:rPr>
                <w:b/>
                <w:bCs/>
                <w:sz w:val="24"/>
                <w:szCs w:val="24"/>
              </w:rPr>
              <w:fldChar w:fldCharType="end"/>
            </w:r>
          </w:p>
        </w:sdtContent>
      </w:sdt>
    </w:sdtContent>
  </w:sdt>
  <w:p w14:paraId="7B9485C4" w14:textId="77777777" w:rsidR="00E0317F" w:rsidRDefault="00E03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B76A" w14:textId="77777777" w:rsidR="00FD3008" w:rsidRDefault="00FD3008" w:rsidP="002248FB">
      <w:pPr>
        <w:spacing w:after="0" w:line="240" w:lineRule="auto"/>
      </w:pPr>
      <w:r>
        <w:separator/>
      </w:r>
    </w:p>
  </w:footnote>
  <w:footnote w:type="continuationSeparator" w:id="0">
    <w:p w14:paraId="64E22944" w14:textId="77777777" w:rsidR="00FD3008" w:rsidRDefault="00FD3008" w:rsidP="00224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B7C0" w14:textId="4CAF3A32" w:rsidR="00E0317F" w:rsidRDefault="00252AF4" w:rsidP="00252AF4">
    <w:pPr>
      <w:pStyle w:val="Kopfzeile"/>
    </w:pPr>
    <w:r>
      <w:rPr>
        <w:noProof/>
        <w:lang w:eastAsia="de-DE"/>
      </w:rPr>
      <w:drawing>
        <wp:inline distT="0" distB="0" distL="0" distR="0" wp14:anchorId="35D9638A" wp14:editId="6BC2C270">
          <wp:extent cx="2705100" cy="790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KB.jpg"/>
                  <pic:cNvPicPr/>
                </pic:nvPicPr>
                <pic:blipFill>
                  <a:blip r:embed="rId1">
                    <a:extLst>
                      <a:ext uri="{28A0092B-C50C-407E-A947-70E740481C1C}">
                        <a14:useLocalDpi xmlns:a14="http://schemas.microsoft.com/office/drawing/2010/main" val="0"/>
                      </a:ext>
                    </a:extLst>
                  </a:blip>
                  <a:stretch>
                    <a:fillRect/>
                  </a:stretch>
                </pic:blipFill>
                <pic:spPr>
                  <a:xfrm>
                    <a:off x="0" y="0"/>
                    <a:ext cx="2705100" cy="790575"/>
                  </a:xfrm>
                  <a:prstGeom prst="rect">
                    <a:avLst/>
                  </a:prstGeom>
                </pic:spPr>
              </pic:pic>
            </a:graphicData>
          </a:graphic>
        </wp:inline>
      </w:drawing>
    </w:r>
    <w:r>
      <w:t xml:space="preserve"> </w:t>
    </w:r>
    <w:r>
      <w:tab/>
    </w:r>
    <w:r>
      <w:tab/>
      <w:t xml:space="preserve">    </w:t>
    </w:r>
    <w:r>
      <w:rPr>
        <w:noProof/>
        <w:lang w:eastAsia="de-DE"/>
      </w:rPr>
      <w:drawing>
        <wp:inline distT="0" distB="0" distL="0" distR="0" wp14:anchorId="6AB42802" wp14:editId="463AEF23">
          <wp:extent cx="2027811" cy="11176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7811" cy="1117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1D8"/>
    <w:multiLevelType w:val="hybridMultilevel"/>
    <w:tmpl w:val="A00A12CA"/>
    <w:lvl w:ilvl="0" w:tplc="C23AB7DA">
      <w:start w:val="1"/>
      <w:numFmt w:val="upp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15:restartNumberingAfterBreak="0">
    <w:nsid w:val="0658037E"/>
    <w:multiLevelType w:val="hybridMultilevel"/>
    <w:tmpl w:val="B82AA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C7C35"/>
    <w:multiLevelType w:val="hybridMultilevel"/>
    <w:tmpl w:val="B82AA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4879BA"/>
    <w:multiLevelType w:val="hybridMultilevel"/>
    <w:tmpl w:val="FB2C80C0"/>
    <w:lvl w:ilvl="0" w:tplc="2392F03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07CD2"/>
    <w:multiLevelType w:val="hybridMultilevel"/>
    <w:tmpl w:val="B970B5D6"/>
    <w:lvl w:ilvl="0" w:tplc="324AD09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A74573"/>
    <w:multiLevelType w:val="hybridMultilevel"/>
    <w:tmpl w:val="6D6E7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246A99"/>
    <w:multiLevelType w:val="hybridMultilevel"/>
    <w:tmpl w:val="6F105246"/>
    <w:lvl w:ilvl="0" w:tplc="32985A0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7C567D"/>
    <w:multiLevelType w:val="hybridMultilevel"/>
    <w:tmpl w:val="4C942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6018C4"/>
    <w:multiLevelType w:val="hybridMultilevel"/>
    <w:tmpl w:val="7E088894"/>
    <w:lvl w:ilvl="0" w:tplc="8F7CED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F40634"/>
    <w:multiLevelType w:val="hybridMultilevel"/>
    <w:tmpl w:val="98E40C3C"/>
    <w:lvl w:ilvl="0" w:tplc="89CAAB5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0C335F"/>
    <w:multiLevelType w:val="hybridMultilevel"/>
    <w:tmpl w:val="4880E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FF3C44"/>
    <w:multiLevelType w:val="multilevel"/>
    <w:tmpl w:val="713C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A1166"/>
    <w:multiLevelType w:val="hybridMultilevel"/>
    <w:tmpl w:val="421A5570"/>
    <w:lvl w:ilvl="0" w:tplc="D1E85E9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0"/>
  </w:num>
  <w:num w:numId="6">
    <w:abstractNumId w:val="9"/>
  </w:num>
  <w:num w:numId="7">
    <w:abstractNumId w:val="8"/>
  </w:num>
  <w:num w:numId="8">
    <w:abstractNumId w:val="12"/>
  </w:num>
  <w:num w:numId="9">
    <w:abstractNumId w:val="4"/>
  </w:num>
  <w:num w:numId="10">
    <w:abstractNumId w:val="3"/>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1"/>
    <w:rsid w:val="00003D14"/>
    <w:rsid w:val="000104F2"/>
    <w:rsid w:val="000115D3"/>
    <w:rsid w:val="00034433"/>
    <w:rsid w:val="0004279E"/>
    <w:rsid w:val="0004521A"/>
    <w:rsid w:val="000561EB"/>
    <w:rsid w:val="00056E58"/>
    <w:rsid w:val="00076C11"/>
    <w:rsid w:val="000A1EB7"/>
    <w:rsid w:val="000B2ED5"/>
    <w:rsid w:val="000E5E7B"/>
    <w:rsid w:val="0011183E"/>
    <w:rsid w:val="00115A07"/>
    <w:rsid w:val="00117BC6"/>
    <w:rsid w:val="00152EE0"/>
    <w:rsid w:val="001572A1"/>
    <w:rsid w:val="00184680"/>
    <w:rsid w:val="00197019"/>
    <w:rsid w:val="001A5465"/>
    <w:rsid w:val="001A7CEF"/>
    <w:rsid w:val="001B0AC2"/>
    <w:rsid w:val="001B57D7"/>
    <w:rsid w:val="001C062D"/>
    <w:rsid w:val="001F3E66"/>
    <w:rsid w:val="001F72EE"/>
    <w:rsid w:val="00216BA5"/>
    <w:rsid w:val="00223B35"/>
    <w:rsid w:val="002248FB"/>
    <w:rsid w:val="00243B0F"/>
    <w:rsid w:val="00245885"/>
    <w:rsid w:val="00252AF4"/>
    <w:rsid w:val="00262A40"/>
    <w:rsid w:val="002765B2"/>
    <w:rsid w:val="00281CC3"/>
    <w:rsid w:val="00286115"/>
    <w:rsid w:val="002A25BD"/>
    <w:rsid w:val="002A370F"/>
    <w:rsid w:val="002B7F18"/>
    <w:rsid w:val="002E76D6"/>
    <w:rsid w:val="002F330B"/>
    <w:rsid w:val="00306FAE"/>
    <w:rsid w:val="003163FE"/>
    <w:rsid w:val="00316807"/>
    <w:rsid w:val="0035156E"/>
    <w:rsid w:val="00392F7A"/>
    <w:rsid w:val="003A4F71"/>
    <w:rsid w:val="003B46D7"/>
    <w:rsid w:val="003D6166"/>
    <w:rsid w:val="003E55EF"/>
    <w:rsid w:val="003F1F77"/>
    <w:rsid w:val="003F6166"/>
    <w:rsid w:val="00406188"/>
    <w:rsid w:val="00412616"/>
    <w:rsid w:val="00484E2C"/>
    <w:rsid w:val="00490673"/>
    <w:rsid w:val="004A204A"/>
    <w:rsid w:val="004A2D52"/>
    <w:rsid w:val="004A6B6B"/>
    <w:rsid w:val="004F7B33"/>
    <w:rsid w:val="00502816"/>
    <w:rsid w:val="00517108"/>
    <w:rsid w:val="005334D1"/>
    <w:rsid w:val="0057523D"/>
    <w:rsid w:val="00595FCE"/>
    <w:rsid w:val="005A3553"/>
    <w:rsid w:val="005A5B67"/>
    <w:rsid w:val="005B323B"/>
    <w:rsid w:val="005E0D91"/>
    <w:rsid w:val="005E1012"/>
    <w:rsid w:val="0062626C"/>
    <w:rsid w:val="00652201"/>
    <w:rsid w:val="00690467"/>
    <w:rsid w:val="006C27E2"/>
    <w:rsid w:val="006C3F4F"/>
    <w:rsid w:val="006D596C"/>
    <w:rsid w:val="00706C4B"/>
    <w:rsid w:val="00720ABB"/>
    <w:rsid w:val="0072377D"/>
    <w:rsid w:val="00733B0F"/>
    <w:rsid w:val="00733E7B"/>
    <w:rsid w:val="0073595C"/>
    <w:rsid w:val="0073751C"/>
    <w:rsid w:val="00771302"/>
    <w:rsid w:val="0077324C"/>
    <w:rsid w:val="007765C2"/>
    <w:rsid w:val="00792DB9"/>
    <w:rsid w:val="007A0C34"/>
    <w:rsid w:val="007A39D0"/>
    <w:rsid w:val="007B0D6D"/>
    <w:rsid w:val="007B46F9"/>
    <w:rsid w:val="007B5860"/>
    <w:rsid w:val="007D6111"/>
    <w:rsid w:val="007F5773"/>
    <w:rsid w:val="0081690A"/>
    <w:rsid w:val="00823A2B"/>
    <w:rsid w:val="00834415"/>
    <w:rsid w:val="00862C56"/>
    <w:rsid w:val="00863712"/>
    <w:rsid w:val="00865E34"/>
    <w:rsid w:val="00884F20"/>
    <w:rsid w:val="00887303"/>
    <w:rsid w:val="00896069"/>
    <w:rsid w:val="008A1253"/>
    <w:rsid w:val="008A1294"/>
    <w:rsid w:val="008A3CFD"/>
    <w:rsid w:val="008B36D4"/>
    <w:rsid w:val="008D34A1"/>
    <w:rsid w:val="008F59D9"/>
    <w:rsid w:val="008F5F0B"/>
    <w:rsid w:val="009015AF"/>
    <w:rsid w:val="00910B9B"/>
    <w:rsid w:val="00916539"/>
    <w:rsid w:val="00940035"/>
    <w:rsid w:val="0098518A"/>
    <w:rsid w:val="009A6984"/>
    <w:rsid w:val="009C15B0"/>
    <w:rsid w:val="009C2BB8"/>
    <w:rsid w:val="009D12CE"/>
    <w:rsid w:val="009E6D8E"/>
    <w:rsid w:val="009F298A"/>
    <w:rsid w:val="009F45E2"/>
    <w:rsid w:val="009F5D75"/>
    <w:rsid w:val="00A1209F"/>
    <w:rsid w:val="00A14219"/>
    <w:rsid w:val="00A210B9"/>
    <w:rsid w:val="00A30B38"/>
    <w:rsid w:val="00A71FBC"/>
    <w:rsid w:val="00A750B2"/>
    <w:rsid w:val="00A80C1C"/>
    <w:rsid w:val="00A82766"/>
    <w:rsid w:val="00A9540B"/>
    <w:rsid w:val="00AA20ED"/>
    <w:rsid w:val="00AF75FD"/>
    <w:rsid w:val="00B01C62"/>
    <w:rsid w:val="00B11EBF"/>
    <w:rsid w:val="00B33F63"/>
    <w:rsid w:val="00B5386A"/>
    <w:rsid w:val="00B63263"/>
    <w:rsid w:val="00B66513"/>
    <w:rsid w:val="00B72A43"/>
    <w:rsid w:val="00B778C0"/>
    <w:rsid w:val="00B968C9"/>
    <w:rsid w:val="00BA0BB4"/>
    <w:rsid w:val="00BA4F55"/>
    <w:rsid w:val="00BB4680"/>
    <w:rsid w:val="00C07190"/>
    <w:rsid w:val="00C14391"/>
    <w:rsid w:val="00C24D82"/>
    <w:rsid w:val="00C45D54"/>
    <w:rsid w:val="00C5313C"/>
    <w:rsid w:val="00C6307B"/>
    <w:rsid w:val="00C65C76"/>
    <w:rsid w:val="00C757A2"/>
    <w:rsid w:val="00CD2A1D"/>
    <w:rsid w:val="00CD7E33"/>
    <w:rsid w:val="00CE303A"/>
    <w:rsid w:val="00CF2C8E"/>
    <w:rsid w:val="00D05A4A"/>
    <w:rsid w:val="00D17E47"/>
    <w:rsid w:val="00D20423"/>
    <w:rsid w:val="00D26305"/>
    <w:rsid w:val="00D324F2"/>
    <w:rsid w:val="00D42C83"/>
    <w:rsid w:val="00D65DFA"/>
    <w:rsid w:val="00D95FB5"/>
    <w:rsid w:val="00DB7343"/>
    <w:rsid w:val="00DD095F"/>
    <w:rsid w:val="00DE686C"/>
    <w:rsid w:val="00E01D26"/>
    <w:rsid w:val="00E0317F"/>
    <w:rsid w:val="00E05D74"/>
    <w:rsid w:val="00E33803"/>
    <w:rsid w:val="00E36F40"/>
    <w:rsid w:val="00E47E9D"/>
    <w:rsid w:val="00E53788"/>
    <w:rsid w:val="00E53D51"/>
    <w:rsid w:val="00E56917"/>
    <w:rsid w:val="00E61F09"/>
    <w:rsid w:val="00E90164"/>
    <w:rsid w:val="00E94C8B"/>
    <w:rsid w:val="00E96C7A"/>
    <w:rsid w:val="00EB06FC"/>
    <w:rsid w:val="00ED18B2"/>
    <w:rsid w:val="00EE0854"/>
    <w:rsid w:val="00EE7222"/>
    <w:rsid w:val="00EF47AE"/>
    <w:rsid w:val="00EF6CC8"/>
    <w:rsid w:val="00F00E6E"/>
    <w:rsid w:val="00F15EE3"/>
    <w:rsid w:val="00F2282F"/>
    <w:rsid w:val="00F415C7"/>
    <w:rsid w:val="00F65447"/>
    <w:rsid w:val="00F776FA"/>
    <w:rsid w:val="00F8032D"/>
    <w:rsid w:val="00F84880"/>
    <w:rsid w:val="00F87F3D"/>
    <w:rsid w:val="00F9670A"/>
    <w:rsid w:val="00FA2C68"/>
    <w:rsid w:val="00FD3008"/>
    <w:rsid w:val="00FE705A"/>
    <w:rsid w:val="00FE7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36BB"/>
  <w15:chartTrackingRefBased/>
  <w15:docId w15:val="{99C7BDCB-B388-4B75-AEF3-E7416225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1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165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92D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248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48FB"/>
    <w:rPr>
      <w:sz w:val="20"/>
      <w:szCs w:val="20"/>
    </w:rPr>
  </w:style>
  <w:style w:type="character" w:styleId="Funotenzeichen">
    <w:name w:val="footnote reference"/>
    <w:basedOn w:val="Absatz-Standardschriftart"/>
    <w:uiPriority w:val="99"/>
    <w:unhideWhenUsed/>
    <w:qFormat/>
    <w:rsid w:val="002248FB"/>
    <w:rPr>
      <w:vertAlign w:val="superscript"/>
    </w:rPr>
  </w:style>
  <w:style w:type="paragraph" w:styleId="Endnotentext">
    <w:name w:val="endnote text"/>
    <w:basedOn w:val="Standard"/>
    <w:link w:val="EndnotentextZchn"/>
    <w:uiPriority w:val="99"/>
    <w:semiHidden/>
    <w:unhideWhenUsed/>
    <w:rsid w:val="002248F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48FB"/>
    <w:rPr>
      <w:sz w:val="20"/>
      <w:szCs w:val="20"/>
    </w:rPr>
  </w:style>
  <w:style w:type="character" w:styleId="Endnotenzeichen">
    <w:name w:val="endnote reference"/>
    <w:basedOn w:val="Absatz-Standardschriftart"/>
    <w:uiPriority w:val="99"/>
    <w:semiHidden/>
    <w:unhideWhenUsed/>
    <w:rsid w:val="002248FB"/>
    <w:rPr>
      <w:vertAlign w:val="superscript"/>
    </w:rPr>
  </w:style>
  <w:style w:type="paragraph" w:customStyle="1" w:styleId="Default">
    <w:name w:val="Default"/>
    <w:rsid w:val="00E53788"/>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9165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1653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BA4F55"/>
    <w:rPr>
      <w:color w:val="0563C1" w:themeColor="hyperlink"/>
      <w:u w:val="single"/>
    </w:rPr>
  </w:style>
  <w:style w:type="paragraph" w:styleId="StandardWeb">
    <w:name w:val="Normal (Web)"/>
    <w:basedOn w:val="Standard"/>
    <w:uiPriority w:val="99"/>
    <w:semiHidden/>
    <w:unhideWhenUsed/>
    <w:rsid w:val="00792D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92DB9"/>
    <w:rPr>
      <w:color w:val="954F72" w:themeColor="followedHyperlink"/>
      <w:u w:val="single"/>
    </w:rPr>
  </w:style>
  <w:style w:type="character" w:customStyle="1" w:styleId="berschrift3Zchn">
    <w:name w:val="Überschrift 3 Zchn"/>
    <w:basedOn w:val="Absatz-Standardschriftart"/>
    <w:link w:val="berschrift3"/>
    <w:uiPriority w:val="9"/>
    <w:rsid w:val="00792DB9"/>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281CC3"/>
    <w:pPr>
      <w:ind w:left="720"/>
      <w:contextualSpacing/>
    </w:pPr>
  </w:style>
  <w:style w:type="paragraph" w:styleId="Kopfzeile">
    <w:name w:val="header"/>
    <w:basedOn w:val="Standard"/>
    <w:link w:val="KopfzeileZchn"/>
    <w:uiPriority w:val="99"/>
    <w:unhideWhenUsed/>
    <w:rsid w:val="00E01D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D26"/>
  </w:style>
  <w:style w:type="paragraph" w:styleId="Fuzeile">
    <w:name w:val="footer"/>
    <w:basedOn w:val="Standard"/>
    <w:link w:val="FuzeileZchn"/>
    <w:uiPriority w:val="99"/>
    <w:unhideWhenUsed/>
    <w:rsid w:val="00E01D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D26"/>
  </w:style>
  <w:style w:type="table" w:styleId="Tabellenraster">
    <w:name w:val="Table Grid"/>
    <w:basedOn w:val="NormaleTabelle"/>
    <w:uiPriority w:val="39"/>
    <w:rsid w:val="00D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1">
    <w:name w:val="Fußnotenzeichen1"/>
    <w:rsid w:val="00E05D74"/>
    <w:rPr>
      <w:vertAlign w:val="superscript"/>
    </w:rPr>
  </w:style>
  <w:style w:type="paragraph" w:styleId="Textkrper">
    <w:name w:val="Body Text"/>
    <w:basedOn w:val="Standard"/>
    <w:link w:val="TextkrperZchn"/>
    <w:rsid w:val="00E05D7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E05D74"/>
    <w:rPr>
      <w:rFonts w:ascii="Times New Roman" w:eastAsia="SimSun" w:hAnsi="Times New Roman" w:cs="Mangal"/>
      <w:kern w:val="1"/>
      <w:sz w:val="24"/>
      <w:szCs w:val="24"/>
      <w:lang w:eastAsia="hi-IN" w:bidi="hi-IN"/>
    </w:rPr>
  </w:style>
  <w:style w:type="character" w:customStyle="1" w:styleId="Funotenzeichen3">
    <w:name w:val="Fußnotenzeichen3"/>
    <w:rsid w:val="00C14391"/>
    <w:rPr>
      <w:vertAlign w:val="superscript"/>
    </w:rPr>
  </w:style>
  <w:style w:type="character" w:customStyle="1" w:styleId="Endnotenzeichen1">
    <w:name w:val="Endnotenzeichen1"/>
    <w:rsid w:val="00C14391"/>
    <w:rPr>
      <w:vertAlign w:val="superscript"/>
    </w:rPr>
  </w:style>
  <w:style w:type="character" w:customStyle="1" w:styleId="UnresolvedMention">
    <w:name w:val="Unresolved Mention"/>
    <w:basedOn w:val="Absatz-Standardschriftart"/>
    <w:uiPriority w:val="99"/>
    <w:semiHidden/>
    <w:unhideWhenUsed/>
    <w:rsid w:val="00A750B2"/>
    <w:rPr>
      <w:color w:val="605E5C"/>
      <w:shd w:val="clear" w:color="auto" w:fill="E1DFDD"/>
    </w:rPr>
  </w:style>
  <w:style w:type="character" w:customStyle="1" w:styleId="Funotenzeichen2">
    <w:name w:val="Fußnotenzeichen2"/>
    <w:rsid w:val="00652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8056">
      <w:bodyDiv w:val="1"/>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
      </w:divsChild>
    </w:div>
    <w:div w:id="227960182">
      <w:bodyDiv w:val="1"/>
      <w:marLeft w:val="0"/>
      <w:marRight w:val="0"/>
      <w:marTop w:val="0"/>
      <w:marBottom w:val="0"/>
      <w:divBdr>
        <w:top w:val="none" w:sz="0" w:space="0" w:color="auto"/>
        <w:left w:val="none" w:sz="0" w:space="0" w:color="auto"/>
        <w:bottom w:val="none" w:sz="0" w:space="0" w:color="auto"/>
        <w:right w:val="none" w:sz="0" w:space="0" w:color="auto"/>
      </w:divBdr>
    </w:div>
    <w:div w:id="259335361">
      <w:bodyDiv w:val="1"/>
      <w:marLeft w:val="0"/>
      <w:marRight w:val="0"/>
      <w:marTop w:val="0"/>
      <w:marBottom w:val="0"/>
      <w:divBdr>
        <w:top w:val="none" w:sz="0" w:space="0" w:color="auto"/>
        <w:left w:val="none" w:sz="0" w:space="0" w:color="auto"/>
        <w:bottom w:val="none" w:sz="0" w:space="0" w:color="auto"/>
        <w:right w:val="none" w:sz="0" w:space="0" w:color="auto"/>
      </w:divBdr>
      <w:divsChild>
        <w:div w:id="724177480">
          <w:marLeft w:val="0"/>
          <w:marRight w:val="0"/>
          <w:marTop w:val="0"/>
          <w:marBottom w:val="0"/>
          <w:divBdr>
            <w:top w:val="none" w:sz="0" w:space="0" w:color="auto"/>
            <w:left w:val="none" w:sz="0" w:space="0" w:color="auto"/>
            <w:bottom w:val="none" w:sz="0" w:space="0" w:color="auto"/>
            <w:right w:val="none" w:sz="0" w:space="0" w:color="auto"/>
          </w:divBdr>
        </w:div>
        <w:div w:id="1630359179">
          <w:marLeft w:val="0"/>
          <w:marRight w:val="0"/>
          <w:marTop w:val="0"/>
          <w:marBottom w:val="0"/>
          <w:divBdr>
            <w:top w:val="none" w:sz="0" w:space="0" w:color="auto"/>
            <w:left w:val="none" w:sz="0" w:space="0" w:color="auto"/>
            <w:bottom w:val="none" w:sz="0" w:space="0" w:color="auto"/>
            <w:right w:val="none" w:sz="0" w:space="0" w:color="auto"/>
          </w:divBdr>
        </w:div>
        <w:div w:id="997541326">
          <w:marLeft w:val="0"/>
          <w:marRight w:val="0"/>
          <w:marTop w:val="0"/>
          <w:marBottom w:val="0"/>
          <w:divBdr>
            <w:top w:val="none" w:sz="0" w:space="0" w:color="auto"/>
            <w:left w:val="none" w:sz="0" w:space="0" w:color="auto"/>
            <w:bottom w:val="none" w:sz="0" w:space="0" w:color="auto"/>
            <w:right w:val="none" w:sz="0" w:space="0" w:color="auto"/>
          </w:divBdr>
        </w:div>
        <w:div w:id="297153644">
          <w:marLeft w:val="0"/>
          <w:marRight w:val="0"/>
          <w:marTop w:val="0"/>
          <w:marBottom w:val="0"/>
          <w:divBdr>
            <w:top w:val="none" w:sz="0" w:space="0" w:color="auto"/>
            <w:left w:val="none" w:sz="0" w:space="0" w:color="auto"/>
            <w:bottom w:val="none" w:sz="0" w:space="0" w:color="auto"/>
            <w:right w:val="none" w:sz="0" w:space="0" w:color="auto"/>
          </w:divBdr>
        </w:div>
        <w:div w:id="746265026">
          <w:marLeft w:val="0"/>
          <w:marRight w:val="0"/>
          <w:marTop w:val="0"/>
          <w:marBottom w:val="0"/>
          <w:divBdr>
            <w:top w:val="none" w:sz="0" w:space="0" w:color="auto"/>
            <w:left w:val="none" w:sz="0" w:space="0" w:color="auto"/>
            <w:bottom w:val="none" w:sz="0" w:space="0" w:color="auto"/>
            <w:right w:val="none" w:sz="0" w:space="0" w:color="auto"/>
          </w:divBdr>
        </w:div>
        <w:div w:id="631444615">
          <w:marLeft w:val="0"/>
          <w:marRight w:val="0"/>
          <w:marTop w:val="0"/>
          <w:marBottom w:val="0"/>
          <w:divBdr>
            <w:top w:val="none" w:sz="0" w:space="0" w:color="auto"/>
            <w:left w:val="none" w:sz="0" w:space="0" w:color="auto"/>
            <w:bottom w:val="none" w:sz="0" w:space="0" w:color="auto"/>
            <w:right w:val="none" w:sz="0" w:space="0" w:color="auto"/>
          </w:divBdr>
        </w:div>
      </w:divsChild>
    </w:div>
    <w:div w:id="385496236">
      <w:bodyDiv w:val="1"/>
      <w:marLeft w:val="0"/>
      <w:marRight w:val="0"/>
      <w:marTop w:val="0"/>
      <w:marBottom w:val="0"/>
      <w:divBdr>
        <w:top w:val="none" w:sz="0" w:space="0" w:color="auto"/>
        <w:left w:val="none" w:sz="0" w:space="0" w:color="auto"/>
        <w:bottom w:val="none" w:sz="0" w:space="0" w:color="auto"/>
        <w:right w:val="none" w:sz="0" w:space="0" w:color="auto"/>
      </w:divBdr>
      <w:divsChild>
        <w:div w:id="617571404">
          <w:marLeft w:val="0"/>
          <w:marRight w:val="0"/>
          <w:marTop w:val="0"/>
          <w:marBottom w:val="0"/>
          <w:divBdr>
            <w:top w:val="none" w:sz="0" w:space="0" w:color="auto"/>
            <w:left w:val="none" w:sz="0" w:space="0" w:color="auto"/>
            <w:bottom w:val="none" w:sz="0" w:space="0" w:color="auto"/>
            <w:right w:val="none" w:sz="0" w:space="0" w:color="auto"/>
          </w:divBdr>
        </w:div>
        <w:div w:id="1563296551">
          <w:marLeft w:val="0"/>
          <w:marRight w:val="0"/>
          <w:marTop w:val="0"/>
          <w:marBottom w:val="0"/>
          <w:divBdr>
            <w:top w:val="none" w:sz="0" w:space="0" w:color="auto"/>
            <w:left w:val="none" w:sz="0" w:space="0" w:color="auto"/>
            <w:bottom w:val="none" w:sz="0" w:space="0" w:color="auto"/>
            <w:right w:val="none" w:sz="0" w:space="0" w:color="auto"/>
          </w:divBdr>
        </w:div>
        <w:div w:id="1759256686">
          <w:marLeft w:val="0"/>
          <w:marRight w:val="0"/>
          <w:marTop w:val="0"/>
          <w:marBottom w:val="0"/>
          <w:divBdr>
            <w:top w:val="none" w:sz="0" w:space="0" w:color="auto"/>
            <w:left w:val="none" w:sz="0" w:space="0" w:color="auto"/>
            <w:bottom w:val="none" w:sz="0" w:space="0" w:color="auto"/>
            <w:right w:val="none" w:sz="0" w:space="0" w:color="auto"/>
          </w:divBdr>
        </w:div>
        <w:div w:id="593435043">
          <w:marLeft w:val="0"/>
          <w:marRight w:val="0"/>
          <w:marTop w:val="0"/>
          <w:marBottom w:val="0"/>
          <w:divBdr>
            <w:top w:val="none" w:sz="0" w:space="0" w:color="auto"/>
            <w:left w:val="none" w:sz="0" w:space="0" w:color="auto"/>
            <w:bottom w:val="none" w:sz="0" w:space="0" w:color="auto"/>
            <w:right w:val="none" w:sz="0" w:space="0" w:color="auto"/>
          </w:divBdr>
        </w:div>
        <w:div w:id="358505629">
          <w:marLeft w:val="0"/>
          <w:marRight w:val="0"/>
          <w:marTop w:val="0"/>
          <w:marBottom w:val="0"/>
          <w:divBdr>
            <w:top w:val="none" w:sz="0" w:space="0" w:color="auto"/>
            <w:left w:val="none" w:sz="0" w:space="0" w:color="auto"/>
            <w:bottom w:val="none" w:sz="0" w:space="0" w:color="auto"/>
            <w:right w:val="none" w:sz="0" w:space="0" w:color="auto"/>
          </w:divBdr>
        </w:div>
      </w:divsChild>
    </w:div>
    <w:div w:id="574974041">
      <w:bodyDiv w:val="1"/>
      <w:marLeft w:val="0"/>
      <w:marRight w:val="0"/>
      <w:marTop w:val="0"/>
      <w:marBottom w:val="0"/>
      <w:divBdr>
        <w:top w:val="none" w:sz="0" w:space="0" w:color="auto"/>
        <w:left w:val="none" w:sz="0" w:space="0" w:color="auto"/>
        <w:bottom w:val="none" w:sz="0" w:space="0" w:color="auto"/>
        <w:right w:val="none" w:sz="0" w:space="0" w:color="auto"/>
      </w:divBdr>
    </w:div>
    <w:div w:id="629744492">
      <w:bodyDiv w:val="1"/>
      <w:marLeft w:val="0"/>
      <w:marRight w:val="0"/>
      <w:marTop w:val="0"/>
      <w:marBottom w:val="0"/>
      <w:divBdr>
        <w:top w:val="none" w:sz="0" w:space="0" w:color="auto"/>
        <w:left w:val="none" w:sz="0" w:space="0" w:color="auto"/>
        <w:bottom w:val="none" w:sz="0" w:space="0" w:color="auto"/>
        <w:right w:val="none" w:sz="0" w:space="0" w:color="auto"/>
      </w:divBdr>
    </w:div>
    <w:div w:id="701900288">
      <w:bodyDiv w:val="1"/>
      <w:marLeft w:val="0"/>
      <w:marRight w:val="0"/>
      <w:marTop w:val="0"/>
      <w:marBottom w:val="0"/>
      <w:divBdr>
        <w:top w:val="none" w:sz="0" w:space="0" w:color="auto"/>
        <w:left w:val="none" w:sz="0" w:space="0" w:color="auto"/>
        <w:bottom w:val="none" w:sz="0" w:space="0" w:color="auto"/>
        <w:right w:val="none" w:sz="0" w:space="0" w:color="auto"/>
      </w:divBdr>
      <w:divsChild>
        <w:div w:id="497111255">
          <w:marLeft w:val="0"/>
          <w:marRight w:val="0"/>
          <w:marTop w:val="0"/>
          <w:marBottom w:val="0"/>
          <w:divBdr>
            <w:top w:val="none" w:sz="0" w:space="0" w:color="auto"/>
            <w:left w:val="none" w:sz="0" w:space="0" w:color="auto"/>
            <w:bottom w:val="none" w:sz="0" w:space="0" w:color="auto"/>
            <w:right w:val="none" w:sz="0" w:space="0" w:color="auto"/>
          </w:divBdr>
        </w:div>
        <w:div w:id="1955357194">
          <w:marLeft w:val="0"/>
          <w:marRight w:val="0"/>
          <w:marTop w:val="0"/>
          <w:marBottom w:val="0"/>
          <w:divBdr>
            <w:top w:val="none" w:sz="0" w:space="0" w:color="auto"/>
            <w:left w:val="none" w:sz="0" w:space="0" w:color="auto"/>
            <w:bottom w:val="none" w:sz="0" w:space="0" w:color="auto"/>
            <w:right w:val="none" w:sz="0" w:space="0" w:color="auto"/>
          </w:divBdr>
        </w:div>
        <w:div w:id="997272160">
          <w:marLeft w:val="0"/>
          <w:marRight w:val="0"/>
          <w:marTop w:val="0"/>
          <w:marBottom w:val="0"/>
          <w:divBdr>
            <w:top w:val="none" w:sz="0" w:space="0" w:color="auto"/>
            <w:left w:val="none" w:sz="0" w:space="0" w:color="auto"/>
            <w:bottom w:val="none" w:sz="0" w:space="0" w:color="auto"/>
            <w:right w:val="none" w:sz="0" w:space="0" w:color="auto"/>
          </w:divBdr>
        </w:div>
      </w:divsChild>
    </w:div>
    <w:div w:id="1232620984">
      <w:bodyDiv w:val="1"/>
      <w:marLeft w:val="0"/>
      <w:marRight w:val="0"/>
      <w:marTop w:val="0"/>
      <w:marBottom w:val="0"/>
      <w:divBdr>
        <w:top w:val="none" w:sz="0" w:space="0" w:color="auto"/>
        <w:left w:val="none" w:sz="0" w:space="0" w:color="auto"/>
        <w:bottom w:val="none" w:sz="0" w:space="0" w:color="auto"/>
        <w:right w:val="none" w:sz="0" w:space="0" w:color="auto"/>
      </w:divBdr>
      <w:divsChild>
        <w:div w:id="1595285972">
          <w:marLeft w:val="0"/>
          <w:marRight w:val="0"/>
          <w:marTop w:val="0"/>
          <w:marBottom w:val="0"/>
          <w:divBdr>
            <w:top w:val="none" w:sz="0" w:space="0" w:color="auto"/>
            <w:left w:val="none" w:sz="0" w:space="0" w:color="auto"/>
            <w:bottom w:val="none" w:sz="0" w:space="0" w:color="auto"/>
            <w:right w:val="none" w:sz="0" w:space="0" w:color="auto"/>
          </w:divBdr>
          <w:divsChild>
            <w:div w:id="642273662">
              <w:marLeft w:val="0"/>
              <w:marRight w:val="0"/>
              <w:marTop w:val="0"/>
              <w:marBottom w:val="0"/>
              <w:divBdr>
                <w:top w:val="none" w:sz="0" w:space="0" w:color="auto"/>
                <w:left w:val="none" w:sz="0" w:space="0" w:color="auto"/>
                <w:bottom w:val="none" w:sz="0" w:space="0" w:color="auto"/>
                <w:right w:val="none" w:sz="0" w:space="0" w:color="auto"/>
              </w:divBdr>
              <w:divsChild>
                <w:div w:id="16293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006">
      <w:bodyDiv w:val="1"/>
      <w:marLeft w:val="0"/>
      <w:marRight w:val="0"/>
      <w:marTop w:val="0"/>
      <w:marBottom w:val="0"/>
      <w:divBdr>
        <w:top w:val="none" w:sz="0" w:space="0" w:color="auto"/>
        <w:left w:val="none" w:sz="0" w:space="0" w:color="auto"/>
        <w:bottom w:val="none" w:sz="0" w:space="0" w:color="auto"/>
        <w:right w:val="none" w:sz="0" w:space="0" w:color="auto"/>
      </w:divBdr>
    </w:div>
    <w:div w:id="1438987536">
      <w:bodyDiv w:val="1"/>
      <w:marLeft w:val="0"/>
      <w:marRight w:val="0"/>
      <w:marTop w:val="0"/>
      <w:marBottom w:val="0"/>
      <w:divBdr>
        <w:top w:val="none" w:sz="0" w:space="0" w:color="auto"/>
        <w:left w:val="none" w:sz="0" w:space="0" w:color="auto"/>
        <w:bottom w:val="none" w:sz="0" w:space="0" w:color="auto"/>
        <w:right w:val="none" w:sz="0" w:space="0" w:color="auto"/>
      </w:divBdr>
    </w:div>
    <w:div w:id="1464154807">
      <w:bodyDiv w:val="1"/>
      <w:marLeft w:val="0"/>
      <w:marRight w:val="0"/>
      <w:marTop w:val="0"/>
      <w:marBottom w:val="0"/>
      <w:divBdr>
        <w:top w:val="none" w:sz="0" w:space="0" w:color="auto"/>
        <w:left w:val="none" w:sz="0" w:space="0" w:color="auto"/>
        <w:bottom w:val="none" w:sz="0" w:space="0" w:color="auto"/>
        <w:right w:val="none" w:sz="0" w:space="0" w:color="auto"/>
      </w:divBdr>
    </w:div>
    <w:div w:id="1532455024">
      <w:bodyDiv w:val="1"/>
      <w:marLeft w:val="0"/>
      <w:marRight w:val="0"/>
      <w:marTop w:val="0"/>
      <w:marBottom w:val="0"/>
      <w:divBdr>
        <w:top w:val="none" w:sz="0" w:space="0" w:color="auto"/>
        <w:left w:val="none" w:sz="0" w:space="0" w:color="auto"/>
        <w:bottom w:val="none" w:sz="0" w:space="0" w:color="auto"/>
        <w:right w:val="none" w:sz="0" w:space="0" w:color="auto"/>
      </w:divBdr>
    </w:div>
    <w:div w:id="1535079133">
      <w:bodyDiv w:val="1"/>
      <w:marLeft w:val="0"/>
      <w:marRight w:val="0"/>
      <w:marTop w:val="0"/>
      <w:marBottom w:val="0"/>
      <w:divBdr>
        <w:top w:val="none" w:sz="0" w:space="0" w:color="auto"/>
        <w:left w:val="none" w:sz="0" w:space="0" w:color="auto"/>
        <w:bottom w:val="none" w:sz="0" w:space="0" w:color="auto"/>
        <w:right w:val="none" w:sz="0" w:space="0" w:color="auto"/>
      </w:divBdr>
      <w:divsChild>
        <w:div w:id="1595555657">
          <w:marLeft w:val="0"/>
          <w:marRight w:val="0"/>
          <w:marTop w:val="0"/>
          <w:marBottom w:val="0"/>
          <w:divBdr>
            <w:top w:val="none" w:sz="0" w:space="0" w:color="auto"/>
            <w:left w:val="none" w:sz="0" w:space="0" w:color="auto"/>
            <w:bottom w:val="none" w:sz="0" w:space="0" w:color="auto"/>
            <w:right w:val="none" w:sz="0" w:space="0" w:color="auto"/>
          </w:divBdr>
        </w:div>
        <w:div w:id="1899172111">
          <w:marLeft w:val="0"/>
          <w:marRight w:val="0"/>
          <w:marTop w:val="0"/>
          <w:marBottom w:val="0"/>
          <w:divBdr>
            <w:top w:val="none" w:sz="0" w:space="0" w:color="auto"/>
            <w:left w:val="none" w:sz="0" w:space="0" w:color="auto"/>
            <w:bottom w:val="none" w:sz="0" w:space="0" w:color="auto"/>
            <w:right w:val="none" w:sz="0" w:space="0" w:color="auto"/>
          </w:divBdr>
        </w:div>
        <w:div w:id="1910994766">
          <w:marLeft w:val="0"/>
          <w:marRight w:val="0"/>
          <w:marTop w:val="0"/>
          <w:marBottom w:val="0"/>
          <w:divBdr>
            <w:top w:val="none" w:sz="0" w:space="0" w:color="auto"/>
            <w:left w:val="none" w:sz="0" w:space="0" w:color="auto"/>
            <w:bottom w:val="none" w:sz="0" w:space="0" w:color="auto"/>
            <w:right w:val="none" w:sz="0" w:space="0" w:color="auto"/>
          </w:divBdr>
        </w:div>
        <w:div w:id="378280761">
          <w:marLeft w:val="0"/>
          <w:marRight w:val="0"/>
          <w:marTop w:val="0"/>
          <w:marBottom w:val="0"/>
          <w:divBdr>
            <w:top w:val="none" w:sz="0" w:space="0" w:color="auto"/>
            <w:left w:val="none" w:sz="0" w:space="0" w:color="auto"/>
            <w:bottom w:val="none" w:sz="0" w:space="0" w:color="auto"/>
            <w:right w:val="none" w:sz="0" w:space="0" w:color="auto"/>
          </w:divBdr>
        </w:div>
      </w:divsChild>
    </w:div>
    <w:div w:id="1577932671">
      <w:bodyDiv w:val="1"/>
      <w:marLeft w:val="0"/>
      <w:marRight w:val="0"/>
      <w:marTop w:val="0"/>
      <w:marBottom w:val="0"/>
      <w:divBdr>
        <w:top w:val="none" w:sz="0" w:space="0" w:color="auto"/>
        <w:left w:val="none" w:sz="0" w:space="0" w:color="auto"/>
        <w:bottom w:val="none" w:sz="0" w:space="0" w:color="auto"/>
        <w:right w:val="none" w:sz="0" w:space="0" w:color="auto"/>
      </w:divBdr>
    </w:div>
    <w:div w:id="1740905381">
      <w:bodyDiv w:val="1"/>
      <w:marLeft w:val="0"/>
      <w:marRight w:val="0"/>
      <w:marTop w:val="0"/>
      <w:marBottom w:val="0"/>
      <w:divBdr>
        <w:top w:val="none" w:sz="0" w:space="0" w:color="auto"/>
        <w:left w:val="none" w:sz="0" w:space="0" w:color="auto"/>
        <w:bottom w:val="none" w:sz="0" w:space="0" w:color="auto"/>
        <w:right w:val="none" w:sz="0" w:space="0" w:color="auto"/>
      </w:divBdr>
    </w:div>
    <w:div w:id="1982877727">
      <w:bodyDiv w:val="1"/>
      <w:marLeft w:val="0"/>
      <w:marRight w:val="0"/>
      <w:marTop w:val="0"/>
      <w:marBottom w:val="0"/>
      <w:divBdr>
        <w:top w:val="none" w:sz="0" w:space="0" w:color="auto"/>
        <w:left w:val="none" w:sz="0" w:space="0" w:color="auto"/>
        <w:bottom w:val="none" w:sz="0" w:space="0" w:color="auto"/>
        <w:right w:val="none" w:sz="0" w:space="0" w:color="auto"/>
      </w:divBdr>
    </w:div>
    <w:div w:id="1994069002">
      <w:bodyDiv w:val="1"/>
      <w:marLeft w:val="0"/>
      <w:marRight w:val="0"/>
      <w:marTop w:val="0"/>
      <w:marBottom w:val="0"/>
      <w:divBdr>
        <w:top w:val="none" w:sz="0" w:space="0" w:color="auto"/>
        <w:left w:val="none" w:sz="0" w:space="0" w:color="auto"/>
        <w:bottom w:val="none" w:sz="0" w:space="0" w:color="auto"/>
        <w:right w:val="none" w:sz="0" w:space="0" w:color="auto"/>
      </w:divBdr>
      <w:divsChild>
        <w:div w:id="1815755414">
          <w:marLeft w:val="0"/>
          <w:marRight w:val="0"/>
          <w:marTop w:val="0"/>
          <w:marBottom w:val="0"/>
          <w:divBdr>
            <w:top w:val="none" w:sz="0" w:space="0" w:color="auto"/>
            <w:left w:val="none" w:sz="0" w:space="0" w:color="auto"/>
            <w:bottom w:val="none" w:sz="0" w:space="0" w:color="auto"/>
            <w:right w:val="none" w:sz="0" w:space="0" w:color="auto"/>
          </w:divBdr>
        </w:div>
        <w:div w:id="865098336">
          <w:marLeft w:val="0"/>
          <w:marRight w:val="0"/>
          <w:marTop w:val="0"/>
          <w:marBottom w:val="0"/>
          <w:divBdr>
            <w:top w:val="none" w:sz="0" w:space="0" w:color="auto"/>
            <w:left w:val="none" w:sz="0" w:space="0" w:color="auto"/>
            <w:bottom w:val="none" w:sz="0" w:space="0" w:color="auto"/>
            <w:right w:val="none" w:sz="0" w:space="0" w:color="auto"/>
          </w:divBdr>
        </w:div>
        <w:div w:id="1193417447">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1917008873">
          <w:marLeft w:val="0"/>
          <w:marRight w:val="0"/>
          <w:marTop w:val="0"/>
          <w:marBottom w:val="0"/>
          <w:divBdr>
            <w:top w:val="none" w:sz="0" w:space="0" w:color="auto"/>
            <w:left w:val="none" w:sz="0" w:space="0" w:color="auto"/>
            <w:bottom w:val="none" w:sz="0" w:space="0" w:color="auto"/>
            <w:right w:val="none" w:sz="0" w:space="0" w:color="auto"/>
          </w:divBdr>
        </w:div>
        <w:div w:id="1851792962">
          <w:marLeft w:val="0"/>
          <w:marRight w:val="0"/>
          <w:marTop w:val="0"/>
          <w:marBottom w:val="0"/>
          <w:divBdr>
            <w:top w:val="none" w:sz="0" w:space="0" w:color="auto"/>
            <w:left w:val="none" w:sz="0" w:space="0" w:color="auto"/>
            <w:bottom w:val="none" w:sz="0" w:space="0" w:color="auto"/>
            <w:right w:val="none" w:sz="0" w:space="0" w:color="auto"/>
          </w:divBdr>
        </w:div>
        <w:div w:id="1610431461">
          <w:marLeft w:val="0"/>
          <w:marRight w:val="0"/>
          <w:marTop w:val="0"/>
          <w:marBottom w:val="0"/>
          <w:divBdr>
            <w:top w:val="none" w:sz="0" w:space="0" w:color="auto"/>
            <w:left w:val="none" w:sz="0" w:space="0" w:color="auto"/>
            <w:bottom w:val="none" w:sz="0" w:space="0" w:color="auto"/>
            <w:right w:val="none" w:sz="0" w:space="0" w:color="auto"/>
          </w:divBdr>
        </w:div>
        <w:div w:id="1408653141">
          <w:marLeft w:val="0"/>
          <w:marRight w:val="0"/>
          <w:marTop w:val="0"/>
          <w:marBottom w:val="0"/>
          <w:divBdr>
            <w:top w:val="none" w:sz="0" w:space="0" w:color="auto"/>
            <w:left w:val="none" w:sz="0" w:space="0" w:color="auto"/>
            <w:bottom w:val="none" w:sz="0" w:space="0" w:color="auto"/>
            <w:right w:val="none" w:sz="0" w:space="0" w:color="auto"/>
          </w:divBdr>
        </w:div>
      </w:divsChild>
    </w:div>
    <w:div w:id="2006473207">
      <w:bodyDiv w:val="1"/>
      <w:marLeft w:val="0"/>
      <w:marRight w:val="0"/>
      <w:marTop w:val="0"/>
      <w:marBottom w:val="0"/>
      <w:divBdr>
        <w:top w:val="none" w:sz="0" w:space="0" w:color="auto"/>
        <w:left w:val="none" w:sz="0" w:space="0" w:color="auto"/>
        <w:bottom w:val="none" w:sz="0" w:space="0" w:color="auto"/>
        <w:right w:val="none" w:sz="0" w:space="0" w:color="auto"/>
      </w:divBdr>
    </w:div>
    <w:div w:id="2032878353">
      <w:bodyDiv w:val="1"/>
      <w:marLeft w:val="0"/>
      <w:marRight w:val="0"/>
      <w:marTop w:val="0"/>
      <w:marBottom w:val="0"/>
      <w:divBdr>
        <w:top w:val="none" w:sz="0" w:space="0" w:color="auto"/>
        <w:left w:val="none" w:sz="0" w:space="0" w:color="auto"/>
        <w:bottom w:val="none" w:sz="0" w:space="0" w:color="auto"/>
        <w:right w:val="none" w:sz="0" w:space="0" w:color="auto"/>
      </w:divBdr>
    </w:div>
    <w:div w:id="2037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j-expkom-fracking@fz-juelich.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benswertes-korba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benswertes-korbach.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umweltbundesamt.de/sites/default/files/medien/378/publikationen/texte_53_2014_umweltauswirkungen_von_fracking_0.pdf" TargetMode="External"/><Relationship Id="rId2" Type="http://schemas.openxmlformats.org/officeDocument/2006/relationships/hyperlink" Target="https://www.ipcc.ch/pdf/assessment-report/ar5/wg1/WG1AR5_Chapter08_FINAL.pdf" TargetMode="External"/><Relationship Id="rId1" Type="http://schemas.openxmlformats.org/officeDocument/2006/relationships/hyperlink" Target="https://www.nasa.gov/feature/jpl/nasa-led-study-solves-a-methane-puzzle/" TargetMode="External"/><Relationship Id="rId4" Type="http://schemas.openxmlformats.org/officeDocument/2006/relationships/hyperlink" Target="https://tbinternet.ohchr.org/_layouts/treatybodyexternal/Download.aspx?symbolno=CEDAW%2FC%2FGBR%2FCO%2F8&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04D6-7D09-4993-BB86-196C1AB9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3018</Words>
  <Characters>19019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Harald</cp:lastModifiedBy>
  <cp:revision>2</cp:revision>
  <cp:lastPrinted>2020-06-12T13:28:00Z</cp:lastPrinted>
  <dcterms:created xsi:type="dcterms:W3CDTF">2020-06-14T21:31:00Z</dcterms:created>
  <dcterms:modified xsi:type="dcterms:W3CDTF">2020-06-14T21:31:00Z</dcterms:modified>
</cp:coreProperties>
</file>